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left="10065" w:right="-314"/>
        <w:jc w:val="both"/>
        <w:rPr>
          <w:sz w:val="28"/>
          <w:szCs w:val="28"/>
        </w:rPr>
      </w:pPr>
      <w:r>
        <w:rPr>
          <w:sz w:val="28"/>
          <w:szCs w:val="28"/>
        </w:rPr>
        <w:t>Приложение 2</w:t>
      </w:r>
    </w:p>
    <w:p>
      <w:pPr>
        <w:pStyle w:val="Normal"/>
        <w:spacing w:lineRule="auto" w:line="242"/>
        <w:ind w:left="10065" w:right="-314"/>
        <w:jc w:val="both"/>
        <w:rPr>
          <w:b/>
          <w:sz w:val="28"/>
          <w:szCs w:val="28"/>
          <w:shd w:fill="FFFFFF" w:val="clear"/>
        </w:rPr>
      </w:pPr>
      <w:r>
        <w:rPr>
          <w:sz w:val="28"/>
          <w:szCs w:val="28"/>
        </w:rPr>
        <w:t>к административному регламенту «</w:t>
      </w:r>
      <w:r>
        <w:rPr>
          <w:bCs/>
          <w:color w:val="000000"/>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pPr>
        <w:pStyle w:val="Normal"/>
        <w:spacing w:lineRule="auto" w:line="242"/>
        <w:jc w:val="center"/>
        <w:rPr>
          <w:b/>
          <w:sz w:val="28"/>
          <w:szCs w:val="28"/>
          <w:shd w:fill="FFFFFF" w:val="clear"/>
        </w:rPr>
      </w:pPr>
      <w:r>
        <w:rPr>
          <w:b/>
          <w:sz w:val="28"/>
          <w:szCs w:val="28"/>
          <w:shd w:fill="FFFFFF" w:val="clear"/>
        </w:rPr>
      </w:r>
    </w:p>
    <w:p>
      <w:pPr>
        <w:pStyle w:val="Normal"/>
        <w:spacing w:lineRule="auto" w:line="242"/>
        <w:jc w:val="center"/>
        <w:rPr>
          <w:b/>
          <w:sz w:val="28"/>
          <w:szCs w:val="28"/>
          <w:shd w:fill="FFFFFF" w:val="clear"/>
        </w:rPr>
      </w:pPr>
      <w:r>
        <w:rPr>
          <w:b/>
          <w:sz w:val="28"/>
          <w:szCs w:val="28"/>
          <w:shd w:fill="FFFFFF" w:val="clear"/>
        </w:rPr>
      </w:r>
    </w:p>
    <w:p>
      <w:pPr>
        <w:pStyle w:val="Normal"/>
        <w:spacing w:lineRule="auto" w:line="242"/>
        <w:jc w:val="center"/>
        <w:rPr>
          <w:b/>
          <w:sz w:val="28"/>
          <w:szCs w:val="28"/>
          <w:shd w:fill="FFFFFF" w:val="clear"/>
        </w:rPr>
      </w:pPr>
      <w:r>
        <w:rPr>
          <w:b/>
          <w:sz w:val="28"/>
          <w:szCs w:val="28"/>
          <w:shd w:fill="FFFFFF" w:val="clear"/>
        </w:rPr>
        <w:t>ИСЧЕРПЫВАЮЩИЙ ПЕРЕЧЕНЬ</w:t>
      </w:r>
    </w:p>
    <w:p>
      <w:pPr>
        <w:pStyle w:val="Normal"/>
        <w:spacing w:lineRule="auto" w:line="242"/>
        <w:jc w:val="center"/>
        <w:rPr>
          <w:b/>
          <w:sz w:val="28"/>
          <w:szCs w:val="28"/>
          <w:shd w:fill="FFFFFF" w:val="clear"/>
        </w:rPr>
      </w:pPr>
      <w:r>
        <w:rPr>
          <w:b/>
          <w:sz w:val="28"/>
          <w:szCs w:val="28"/>
          <w:shd w:fill="FFFFFF" w:val="clear"/>
        </w:rPr>
        <w:t>документов, необходимых для предоставления муниципальной услуги</w:t>
      </w:r>
    </w:p>
    <w:p>
      <w:pPr>
        <w:pStyle w:val="Normal"/>
        <w:spacing w:lineRule="auto" w:line="242"/>
        <w:jc w:val="center"/>
        <w:rPr>
          <w:b/>
          <w:sz w:val="28"/>
          <w:szCs w:val="28"/>
          <w:shd w:fill="FFFFFF" w:val="clear"/>
        </w:rPr>
      </w:pPr>
      <w:r>
        <w:rPr>
          <w:b/>
          <w:sz w:val="28"/>
          <w:szCs w:val="28"/>
          <w:shd w:fill="FFFFFF" w:val="clear"/>
        </w:rPr>
      </w:r>
    </w:p>
    <w:p>
      <w:pPr>
        <w:pStyle w:val="Normal"/>
        <w:spacing w:lineRule="auto" w:line="242"/>
        <w:jc w:val="center"/>
        <w:rPr>
          <w:b/>
          <w:sz w:val="28"/>
          <w:szCs w:val="28"/>
          <w:shd w:fill="FFFFFF" w:val="clear"/>
        </w:rPr>
      </w:pPr>
      <w:r>
        <w:rPr>
          <w:b/>
          <w:sz w:val="28"/>
          <w:szCs w:val="28"/>
          <w:shd w:fill="FFFFFF" w:val="clear"/>
        </w:rPr>
      </w:r>
    </w:p>
    <w:tbl>
      <w:tblPr>
        <w:tblW w:w="14850" w:type="dxa"/>
        <w:jc w:val="left"/>
        <w:tblInd w:w="98" w:type="dxa"/>
        <w:tblLayout w:type="fixed"/>
        <w:tblCellMar>
          <w:top w:w="0" w:type="dxa"/>
          <w:left w:w="108" w:type="dxa"/>
          <w:bottom w:w="0" w:type="dxa"/>
          <w:right w:w="108" w:type="dxa"/>
        </w:tblCellMar>
        <w:tblLook w:firstRow="0" w:noVBand="1" w:lastRow="0" w:firstColumn="0" w:lastColumn="0" w:noHBand="1" w:val="0600"/>
      </w:tblPr>
      <w:tblGrid>
        <w:gridCol w:w="540"/>
        <w:gridCol w:w="2403"/>
        <w:gridCol w:w="2410"/>
        <w:gridCol w:w="2692"/>
        <w:gridCol w:w="3686"/>
        <w:gridCol w:w="3118"/>
      </w:tblGrid>
      <w:tr>
        <w:trPr>
          <w:trHeight w:val="690" w:hRule="atLeast"/>
        </w:trPr>
        <w:tc>
          <w:tcPr>
            <w:tcW w:w="540" w:type="dxa"/>
            <w:vMerge w:val="restart"/>
            <w:tcBorders>
              <w:top w:val="single" w:sz="4" w:space="0" w:color="000000"/>
              <w:left w:val="single" w:sz="4" w:space="0" w:color="000000"/>
              <w:bottom w:val="single" w:sz="4" w:space="0" w:color="000000"/>
              <w:right w:val="single" w:sz="4" w:space="0" w:color="000000"/>
            </w:tcBorders>
          </w:tcPr>
          <w:p>
            <w:pPr>
              <w:pStyle w:val="Normal"/>
              <w:spacing w:lineRule="auto" w:line="242"/>
              <w:jc w:val="center"/>
              <w:rPr/>
            </w:pPr>
            <w:r>
              <w:rPr>
                <w:shd w:fill="FFFFFF" w:val="clear"/>
              </w:rPr>
              <w:t>№</w:t>
            </w:r>
            <w:r>
              <w:rPr/>
              <w:br/>
            </w:r>
            <w:r>
              <w:rPr>
                <w:shd w:fill="FFFFFF" w:val="clear"/>
              </w:rPr>
              <w:t>п/п</w:t>
            </w:r>
          </w:p>
        </w:tc>
        <w:tc>
          <w:tcPr>
            <w:tcW w:w="240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2"/>
              <w:jc w:val="center"/>
              <w:rPr/>
            </w:pPr>
            <w:r>
              <w:rPr>
                <w:shd w:fill="FFFFFF" w:val="clear"/>
              </w:rPr>
              <w:t>Идентификатор категории (признака) заявителя</w:t>
            </w:r>
          </w:p>
        </w:tc>
        <w:tc>
          <w:tcPr>
            <w:tcW w:w="241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2"/>
              <w:jc w:val="center"/>
              <w:rPr/>
            </w:pPr>
            <w:r>
              <w:rPr>
                <w:shd w:fill="FFFFFF" w:val="clear"/>
              </w:rPr>
              <w:t xml:space="preserve">Способ подачи таких документов </w:t>
              <w:br/>
              <w:t>и (или) информации</w:t>
            </w:r>
          </w:p>
        </w:tc>
        <w:tc>
          <w:tcPr>
            <w:tcW w:w="269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2"/>
              <w:jc w:val="center"/>
              <w:rPr>
                <w:shd w:fill="FFFFFF" w:val="clear"/>
              </w:rPr>
            </w:pPr>
            <w:r>
              <w:rPr>
                <w:shd w:fill="FFFFFF" w:val="clear"/>
              </w:rPr>
              <w:t>Требования</w:t>
            </w:r>
          </w:p>
          <w:p>
            <w:pPr>
              <w:pStyle w:val="Normal"/>
              <w:spacing w:lineRule="auto" w:line="242"/>
              <w:jc w:val="center"/>
              <w:rPr/>
            </w:pPr>
            <w:r>
              <w:rPr>
                <w:shd w:fill="FFFFFF" w:val="clear"/>
              </w:rPr>
              <w:t>к представлению документов заявителем</w:t>
            </w:r>
          </w:p>
        </w:tc>
        <w:tc>
          <w:tcPr>
            <w:tcW w:w="680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2"/>
              <w:jc w:val="center"/>
              <w:rPr/>
            </w:pPr>
            <w:r>
              <w:rPr>
                <w:shd w:fill="FFFFFF" w:val="clear"/>
              </w:rPr>
              <w:t>Перечень необходимых для предоставления муниципальной услуги документов и (или) информации</w:t>
            </w:r>
          </w:p>
        </w:tc>
      </w:tr>
      <w:tr>
        <w:trPr>
          <w:trHeight w:val="690" w:hRule="atLeast"/>
        </w:trPr>
        <w:tc>
          <w:tcPr>
            <w:tcW w:w="540" w:type="dxa"/>
            <w:vMerge w:val="continue"/>
            <w:tcBorders>
              <w:left w:val="single" w:sz="4" w:space="0" w:color="000000"/>
              <w:bottom w:val="single" w:sz="4" w:space="0" w:color="000000"/>
              <w:right w:val="single" w:sz="4" w:space="0" w:color="000000"/>
            </w:tcBorders>
          </w:tcPr>
          <w:p>
            <w:pPr>
              <w:pStyle w:val="Normal"/>
              <w:spacing w:lineRule="auto" w:line="242"/>
              <w:jc w:val="center"/>
              <w:rPr>
                <w:shd w:fill="FFFFFF" w:val="clear"/>
              </w:rPr>
            </w:pPr>
            <w:r>
              <w:rPr>
                <w:shd w:fill="FFFFFF" w:val="clear"/>
              </w:rPr>
            </w:r>
          </w:p>
        </w:tc>
        <w:tc>
          <w:tcPr>
            <w:tcW w:w="2403" w:type="dxa"/>
            <w:vMerge w:val="continue"/>
            <w:tcBorders>
              <w:left w:val="single" w:sz="4" w:space="0" w:color="000000"/>
              <w:bottom w:val="single" w:sz="4" w:space="0" w:color="000000"/>
              <w:right w:val="single" w:sz="4" w:space="0" w:color="000000"/>
            </w:tcBorders>
            <w:vAlign w:val="center"/>
          </w:tcPr>
          <w:p>
            <w:pPr>
              <w:pStyle w:val="Normal"/>
              <w:spacing w:lineRule="auto" w:line="242"/>
              <w:jc w:val="center"/>
              <w:rPr>
                <w:shd w:fill="FFFFFF" w:val="clear"/>
              </w:rPr>
            </w:pPr>
            <w:r>
              <w:rPr>
                <w:shd w:fill="FFFFFF" w:val="clear"/>
              </w:rPr>
            </w:r>
          </w:p>
        </w:tc>
        <w:tc>
          <w:tcPr>
            <w:tcW w:w="2410" w:type="dxa"/>
            <w:vMerge w:val="continue"/>
            <w:tcBorders>
              <w:left w:val="single" w:sz="4" w:space="0" w:color="000000"/>
              <w:bottom w:val="single" w:sz="4" w:space="0" w:color="000000"/>
              <w:right w:val="single" w:sz="4" w:space="0" w:color="000000"/>
            </w:tcBorders>
            <w:vAlign w:val="center"/>
          </w:tcPr>
          <w:p>
            <w:pPr>
              <w:pStyle w:val="Normal"/>
              <w:spacing w:lineRule="auto" w:line="242"/>
              <w:jc w:val="center"/>
              <w:rPr>
                <w:shd w:fill="FFFFFF" w:val="clear"/>
              </w:rPr>
            </w:pPr>
            <w:r>
              <w:rPr>
                <w:shd w:fill="FFFFFF" w:val="clear"/>
              </w:rPr>
            </w:r>
          </w:p>
        </w:tc>
        <w:tc>
          <w:tcPr>
            <w:tcW w:w="2692" w:type="dxa"/>
            <w:vMerge w:val="continue"/>
            <w:tcBorders>
              <w:left w:val="single" w:sz="4" w:space="0" w:color="000000"/>
              <w:bottom w:val="single" w:sz="4" w:space="0" w:color="000000"/>
              <w:right w:val="single" w:sz="4" w:space="0" w:color="000000"/>
            </w:tcBorders>
            <w:vAlign w:val="center"/>
          </w:tcPr>
          <w:p>
            <w:pPr>
              <w:pStyle w:val="Normal"/>
              <w:spacing w:lineRule="auto" w:line="242"/>
              <w:jc w:val="center"/>
              <w:rPr>
                <w:shd w:fill="FFFFFF" w:val="clear"/>
              </w:rPr>
            </w:pPr>
            <w:r>
              <w:rPr>
                <w:shd w:fill="FFFFFF" w:val="clear"/>
              </w:rPr>
            </w:r>
          </w:p>
        </w:tc>
        <w:tc>
          <w:tcPr>
            <w:tcW w:w="36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2"/>
              <w:jc w:val="center"/>
              <w:rPr>
                <w:lang w:eastAsia="en-US"/>
              </w:rPr>
            </w:pPr>
            <w:r>
              <w:rPr>
                <w:lang w:eastAsia="en-US"/>
              </w:rPr>
              <w:t>документы и (или) информация, которые заявитель должен представить самостоятельно</w:t>
            </w:r>
          </w:p>
          <w:p>
            <w:pPr>
              <w:pStyle w:val="Normal"/>
              <w:spacing w:lineRule="auto" w:line="242"/>
              <w:jc w:val="center"/>
              <w:rPr>
                <w:shd w:fill="FFFFFF" w:val="clear"/>
                <w:lang w:eastAsia="en-US"/>
              </w:rPr>
            </w:pPr>
            <w:r>
              <w:rPr>
                <w:shd w:fill="FFFFFF" w:val="clear"/>
                <w:lang w:eastAsia="en-US"/>
              </w:rPr>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pPr>
              <w:pStyle w:val="Normal"/>
              <w:spacing w:lineRule="auto" w:line="242"/>
              <w:jc w:val="center"/>
              <w:rPr>
                <w:lang w:eastAsia="en-US"/>
              </w:rPr>
            </w:pPr>
            <w:r>
              <w:rPr>
                <w:lang w:eastAsia="en-US"/>
              </w:rPr>
              <w:t>документы и (или)  информация,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trPr/>
        <w:tc>
          <w:tcPr>
            <w:tcW w:w="540" w:type="dxa"/>
            <w:tcBorders>
              <w:top w:val="single" w:sz="4" w:space="0" w:color="000000"/>
              <w:left w:val="single" w:sz="4" w:space="0" w:color="000000"/>
              <w:bottom w:val="single" w:sz="4" w:space="0" w:color="000000"/>
              <w:right w:val="single" w:sz="4" w:space="0" w:color="000000"/>
            </w:tcBorders>
          </w:tcPr>
          <w:p>
            <w:pPr>
              <w:pStyle w:val="Normal"/>
              <w:spacing w:lineRule="auto" w:line="242"/>
              <w:jc w:val="center"/>
              <w:rPr>
                <w:shd w:fill="FFFFFF" w:val="clear"/>
              </w:rPr>
            </w:pPr>
            <w:r>
              <w:rPr>
                <w:shd w:fill="FFFFFF" w:val="clear"/>
              </w:rPr>
              <w:t>1</w:t>
            </w:r>
          </w:p>
        </w:tc>
        <w:tc>
          <w:tcPr>
            <w:tcW w:w="2403" w:type="dxa"/>
            <w:tcBorders>
              <w:top w:val="single" w:sz="4" w:space="0" w:color="000000"/>
              <w:left w:val="single" w:sz="4" w:space="0" w:color="000000"/>
              <w:bottom w:val="single" w:sz="4" w:space="0" w:color="000000"/>
              <w:right w:val="single" w:sz="4" w:space="0" w:color="000000"/>
            </w:tcBorders>
          </w:tcPr>
          <w:p>
            <w:pPr>
              <w:pStyle w:val="Normal"/>
              <w:spacing w:lineRule="auto" w:line="242"/>
              <w:jc w:val="center"/>
              <w:rPr>
                <w:shd w:fill="FFFFFF" w:val="clear"/>
              </w:rPr>
            </w:pPr>
            <w:r>
              <w:rPr>
                <w:shd w:fill="FFFFFF" w:val="clear"/>
              </w:rPr>
              <w:t>2</w:t>
            </w:r>
          </w:p>
        </w:tc>
        <w:tc>
          <w:tcPr>
            <w:tcW w:w="2410" w:type="dxa"/>
            <w:tcBorders>
              <w:top w:val="single" w:sz="4" w:space="0" w:color="000000"/>
              <w:left w:val="single" w:sz="4" w:space="0" w:color="000000"/>
              <w:bottom w:val="single" w:sz="4" w:space="0" w:color="000000"/>
              <w:right w:val="single" w:sz="4" w:space="0" w:color="000000"/>
            </w:tcBorders>
          </w:tcPr>
          <w:p>
            <w:pPr>
              <w:pStyle w:val="Normal"/>
              <w:spacing w:lineRule="auto" w:line="242"/>
              <w:jc w:val="center"/>
              <w:rPr>
                <w:shd w:fill="FFFFFF" w:val="clear"/>
              </w:rPr>
            </w:pPr>
            <w:r>
              <w:rPr>
                <w:shd w:fill="FFFFFF" w:val="clear"/>
              </w:rPr>
              <w:t>3</w:t>
            </w:r>
          </w:p>
        </w:tc>
        <w:tc>
          <w:tcPr>
            <w:tcW w:w="2692" w:type="dxa"/>
            <w:tcBorders>
              <w:top w:val="single" w:sz="4" w:space="0" w:color="000000"/>
              <w:left w:val="single" w:sz="4" w:space="0" w:color="000000"/>
              <w:bottom w:val="single" w:sz="4" w:space="0" w:color="000000"/>
              <w:right w:val="single" w:sz="4" w:space="0" w:color="000000"/>
            </w:tcBorders>
          </w:tcPr>
          <w:p>
            <w:pPr>
              <w:pStyle w:val="Normal"/>
              <w:spacing w:lineRule="auto" w:line="242"/>
              <w:jc w:val="center"/>
              <w:rPr>
                <w:shd w:fill="FFFFFF" w:val="clear"/>
              </w:rPr>
            </w:pPr>
            <w:r>
              <w:rPr>
                <w:shd w:fill="FFFFFF" w:val="clear"/>
              </w:rPr>
              <w:t>4</w:t>
            </w:r>
          </w:p>
        </w:tc>
        <w:tc>
          <w:tcPr>
            <w:tcW w:w="3686" w:type="dxa"/>
            <w:tcBorders>
              <w:top w:val="single" w:sz="4" w:space="0" w:color="000000"/>
              <w:left w:val="single" w:sz="4" w:space="0" w:color="000000"/>
              <w:bottom w:val="single" w:sz="4" w:space="0" w:color="000000"/>
              <w:right w:val="single" w:sz="4" w:space="0" w:color="000000"/>
            </w:tcBorders>
          </w:tcPr>
          <w:p>
            <w:pPr>
              <w:pStyle w:val="Normal"/>
              <w:spacing w:lineRule="auto" w:line="242"/>
              <w:jc w:val="center"/>
              <w:rPr>
                <w:shd w:fill="FFFFFF" w:val="clear"/>
              </w:rPr>
            </w:pPr>
            <w:r>
              <w:rPr>
                <w:shd w:fill="FFFFFF" w:val="clear"/>
              </w:rPr>
              <w:t>5</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pPr>
              <w:pStyle w:val="Normal"/>
              <w:spacing w:lineRule="auto" w:line="242"/>
              <w:jc w:val="center"/>
              <w:rPr>
                <w:shd w:fill="FFFFFF" w:val="clear"/>
                <w:lang w:val="en-US"/>
              </w:rPr>
            </w:pPr>
            <w:r>
              <w:rPr>
                <w:shd w:fill="FFFFFF" w:val="clear"/>
                <w:lang w:val="en-US"/>
              </w:rPr>
              <w:t>6</w:t>
            </w:r>
          </w:p>
        </w:tc>
      </w:tr>
      <w:tr>
        <w:trPr/>
        <w:tc>
          <w:tcPr>
            <w:tcW w:w="540" w:type="dxa"/>
            <w:tcBorders>
              <w:top w:val="single" w:sz="4" w:space="0" w:color="000000"/>
              <w:left w:val="single" w:sz="4" w:space="0" w:color="000000"/>
              <w:bottom w:val="single" w:sz="4" w:space="0" w:color="000000"/>
              <w:right w:val="single" w:sz="4" w:space="0" w:color="000000"/>
            </w:tcBorders>
          </w:tcPr>
          <w:p>
            <w:pPr>
              <w:pStyle w:val="Normal"/>
              <w:jc w:val="both"/>
              <w:rPr>
                <w:szCs w:val="24"/>
                <w:shd w:fill="FFFFFF" w:val="clear"/>
              </w:rPr>
            </w:pPr>
            <w:r>
              <w:rPr>
                <w:szCs w:val="24"/>
                <w:shd w:fill="FFFFFF" w:val="clear"/>
              </w:rPr>
              <w:t>1</w:t>
            </w:r>
          </w:p>
        </w:tc>
        <w:tc>
          <w:tcPr>
            <w:tcW w:w="2403" w:type="dxa"/>
            <w:tcBorders>
              <w:top w:val="single" w:sz="4" w:space="0" w:color="000000"/>
              <w:left w:val="single" w:sz="4" w:space="0" w:color="000000"/>
              <w:bottom w:val="single" w:sz="4" w:space="0" w:color="000000"/>
              <w:right w:val="single" w:sz="4" w:space="0" w:color="000000"/>
            </w:tcBorders>
          </w:tcPr>
          <w:p>
            <w:pPr>
              <w:pStyle w:val="Normal"/>
              <w:suppressAutoHyphens w:val="false"/>
              <w:jc w:val="both"/>
              <w:rPr/>
            </w:pPr>
            <w:r>
              <w:rPr>
                <w:shd w:fill="FFFFFF" w:val="clear"/>
              </w:rPr>
              <w:t>Физическое или юридическое лицо, обеспечивающее на принадлежащем ему земельном участке или на земельном</w:t>
            </w:r>
            <w:r>
              <w:rPr>
                <w:szCs w:val="24"/>
              </w:rPr>
              <w:t xml:space="preserve"> участке иного правообладателя (которому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 </w:t>
            </w:r>
            <w:r>
              <w:rPr/>
              <w:t>при подаче заявления о выдаче разрешения на строительство</w:t>
            </w:r>
          </w:p>
        </w:tc>
        <w:tc>
          <w:tcPr>
            <w:tcW w:w="2410" w:type="dxa"/>
            <w:tcBorders>
              <w:top w:val="single" w:sz="4" w:space="0" w:color="000000"/>
              <w:left w:val="single" w:sz="4" w:space="0" w:color="000000"/>
              <w:bottom w:val="single" w:sz="4" w:space="0" w:color="000000"/>
              <w:right w:val="single" w:sz="4" w:space="0" w:color="000000"/>
            </w:tcBorders>
          </w:tcPr>
          <w:p>
            <w:pPr>
              <w:pStyle w:val="Normal"/>
              <w:jc w:val="both"/>
              <w:rPr>
                <w:shd w:fill="FFFFFF" w:val="clear"/>
              </w:rPr>
            </w:pPr>
            <w:r>
              <w:rPr>
                <w:shd w:fill="FFFFFF" w:val="clear"/>
              </w:rPr>
              <w:t>1. В электронной форме посредством Портала.</w:t>
            </w:r>
          </w:p>
          <w:p>
            <w:pPr>
              <w:pStyle w:val="NoSpacing"/>
              <w:suppressAutoHyphens w:val="false"/>
              <w:jc w:val="both"/>
              <w:rPr>
                <w:shd w:fill="FFFFFF" w:val="clear"/>
              </w:rPr>
            </w:pPr>
            <w:r>
              <w:rPr>
                <w:shd w:fill="FFFFFF" w:val="clear"/>
              </w:rPr>
              <w:t>2. На бумажном но-сителе посредством личного обращения в уполномоченный орган, в том числе через МФЦ,</w:t>
            </w:r>
            <w:r>
              <w:rPr/>
              <w:t xml:space="preserve"> </w:t>
            </w:r>
            <w:r>
              <w:rPr>
                <w:shd w:fill="FFFFFF" w:val="clear"/>
              </w:rPr>
              <w:t>в соответствии с Соглашением о взаимодействии между МФЦ и администрацией муниципального образования Ейский муниципальный район Краснодарского края.</w:t>
            </w:r>
          </w:p>
          <w:p>
            <w:pPr>
              <w:pStyle w:val="NoSpacing"/>
              <w:suppressAutoHyphens w:val="false"/>
              <w:jc w:val="both"/>
              <w:rPr>
                <w:shd w:fill="FFFFFF" w:val="clear"/>
              </w:rPr>
            </w:pPr>
            <w:r>
              <w:rPr>
                <w:shd w:fill="FFFFFF" w:val="clear"/>
              </w:rPr>
              <w:t>3. С использованием соответствующих информационных систем.</w:t>
            </w:r>
          </w:p>
          <w:p>
            <w:pPr>
              <w:pStyle w:val="NoSpacing"/>
              <w:suppressAutoHyphens w:val="false"/>
              <w:jc w:val="both"/>
              <w:rPr>
                <w:shd w:fill="FFFFFF" w:val="clear"/>
              </w:rPr>
            </w:pPr>
            <w:r>
              <w:rPr>
                <w:shd w:fill="FFFFFF" w:val="clear"/>
              </w:rPr>
              <w:t xml:space="preserve">4. С использованием единой информационной системы жилищного строительства, предусмотренной Федеральным </w:t>
            </w:r>
            <w:r>
              <w:rPr>
                <w:spacing w:val="-6"/>
                <w:shd w:fill="FFFFFF" w:val="clear"/>
              </w:rPr>
              <w:t>законом от 30.12.2004 № 214-ФЗ</w:t>
            </w:r>
            <w:r>
              <w:rPr>
                <w:shd w:fill="FFFFFF" w:val="clear"/>
              </w:rPr>
              <w:t xml:space="preserve">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(для застройщиков, наименования которых содержат слова «специализированный застройщик»)</w:t>
            </w:r>
          </w:p>
          <w:p>
            <w:pPr>
              <w:pStyle w:val="NoSpacing"/>
              <w:suppressAutoHyphens w:val="false"/>
              <w:jc w:val="both"/>
              <w:rPr/>
            </w:pPr>
            <w:r>
              <w:rPr/>
            </w:r>
          </w:p>
          <w:p>
            <w:pPr>
              <w:pStyle w:val="NoSpacing"/>
              <w:suppressAutoHyphens w:val="false"/>
              <w:jc w:val="both"/>
              <w:rPr/>
            </w:pPr>
            <w:r>
              <w:rPr/>
            </w:r>
          </w:p>
        </w:tc>
        <w:tc>
          <w:tcPr>
            <w:tcW w:w="2692" w:type="dxa"/>
            <w:tcBorders>
              <w:top w:val="single" w:sz="4" w:space="0" w:color="000000"/>
              <w:left w:val="single" w:sz="4" w:space="0" w:color="000000"/>
              <w:bottom w:val="single" w:sz="4" w:space="0" w:color="000000"/>
              <w:right w:val="single" w:sz="4" w:space="0" w:color="000000"/>
            </w:tcBorders>
          </w:tcPr>
          <w:p>
            <w:pPr>
              <w:pStyle w:val="Normal"/>
              <w:suppressAutoHyphens w:val="false"/>
              <w:jc w:val="both"/>
              <w:rPr>
                <w:rFonts w:ascii="Calibri" w:hAnsi="Calibri" w:asciiTheme="minorHAnsi" w:hAnsiTheme="minorHAnsi"/>
                <w:szCs w:val="24"/>
              </w:rPr>
            </w:pPr>
            <w:r>
              <w:rPr>
                <w:szCs w:val="24"/>
                <w:shd w:fill="FFFFFF" w:val="clear"/>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r>
              <w:rPr>
                <w:kern w:val="0"/>
                <w:szCs w:val="24"/>
                <w:shd w:fill="FFFFFF" w:val="clear"/>
              </w:rPr>
              <w:t xml:space="preserve"> </w:t>
            </w:r>
            <w:r>
              <w:rPr>
                <w:szCs w:val="24"/>
                <w:shd w:fill="FFFFFF" w:val="clear"/>
              </w:rPr>
              <w:t>предусмотрены настоящим регламентом, а также иными нормативными правовыми актами Российской Федерации, в том числе постановление Правительства Российской Федерации от 07.10.2029 № 1294 «</w:t>
            </w:r>
            <w:r>
              <w:rPr>
                <w:color w:val="22272F"/>
                <w:szCs w:val="24"/>
                <w:shd w:fill="FFFFFF" w:val="clear"/>
              </w:rPr>
              <w:t>Об утверждении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w:t>
            </w:r>
          </w:p>
          <w:p>
            <w:pPr>
              <w:pStyle w:val="Normal"/>
              <w:jc w:val="both"/>
              <w:rPr/>
            </w:pPr>
            <w:r>
              <w:rPr/>
            </w:r>
          </w:p>
        </w:tc>
        <w:tc>
          <w:tcPr>
            <w:tcW w:w="3686" w:type="dxa"/>
            <w:tcBorders>
              <w:top w:val="single" w:sz="4" w:space="0" w:color="000000"/>
              <w:left w:val="single" w:sz="4" w:space="0" w:color="000000"/>
              <w:bottom w:val="single" w:sz="4" w:space="0" w:color="000000"/>
              <w:right w:val="single" w:sz="4" w:space="0" w:color="000000"/>
            </w:tcBorders>
          </w:tcPr>
          <w:p>
            <w:pPr>
              <w:pStyle w:val="Normal"/>
              <w:jc w:val="both"/>
              <w:rPr>
                <w:shd w:fill="FFFFFF" w:val="clear"/>
              </w:rPr>
            </w:pPr>
            <w:r>
              <w:rPr>
                <w:shd w:fill="FFFFFF" w:val="clear"/>
              </w:rPr>
              <w:t>1) заявление о выдаче разреше-ния на строительство объекта согласно приложению № 3 к настоящему регламенту;</w:t>
            </w:r>
          </w:p>
          <w:p>
            <w:pPr>
              <w:pStyle w:val="s1"/>
              <w:shd w:val="clear" w:color="auto" w:fill="FFFFFF"/>
              <w:spacing w:before="0" w:after="0"/>
              <w:jc w:val="both"/>
              <w:rPr/>
            </w:pPr>
            <w:r>
              <w:rPr/>
              <w:t>2</w:t>
            </w:r>
            <w:r>
              <w:rPr/>
              <w:t>) согласие всех правообладателей объекта капитального строительства в случае реконструкции такого объекта, за исключением случаев, указанных в подпункте 4) настоящей графы  при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pPr>
              <w:pStyle w:val="s1"/>
              <w:shd w:val="clear" w:color="auto" w:fill="FFFFFF"/>
              <w:spacing w:before="0" w:after="0"/>
              <w:jc w:val="both"/>
              <w:rPr/>
            </w:pPr>
            <w:r>
              <w:rPr/>
              <w:t>3</w:t>
            </w:r>
            <w:r>
              <w:rPr/>
              <w:t xml:space="preserve">)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произойдёт уменьшение размера общего имущества в многоквартирном доме, согласие всех собственников помещений и </w:t>
            </w:r>
            <w:r>
              <w:rPr>
                <w:spacing w:val="-6"/>
              </w:rPr>
              <w:t>машино-мест в многоквартирном доме;</w:t>
            </w:r>
          </w:p>
          <w:p>
            <w:pPr>
              <w:pStyle w:val="s1"/>
              <w:shd w:val="clear" w:color="auto" w:fill="FFFFFF"/>
              <w:spacing w:before="0" w:after="0"/>
              <w:jc w:val="both"/>
              <w:rPr/>
            </w:pPr>
            <w:r>
              <w:rPr/>
              <w:t>4</w:t>
            </w:r>
            <w:r>
              <w:rPr/>
              <w:t>) согласование архитектурно-градостроительного облика объекта капитального строительства в случае, если такое согласование предусмотрено статьёй 40.1 ГрК РФ;</w:t>
            </w:r>
          </w:p>
          <w:p>
            <w:pPr>
              <w:pStyle w:val="s1"/>
              <w:shd w:val="clear" w:color="auto" w:fill="FFFFFF"/>
              <w:spacing w:before="0" w:after="0"/>
              <w:jc w:val="both"/>
              <w:rPr/>
            </w:pPr>
            <w:r>
              <w:rPr/>
              <w:t>5</w:t>
            </w:r>
            <w:r>
              <w:rPr/>
              <w:t>)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pPr>
              <w:pStyle w:val="s1"/>
              <w:shd w:val="clear" w:color="auto" w:fill="FFFFFF"/>
              <w:spacing w:before="0" w:after="0"/>
              <w:jc w:val="both"/>
              <w:rPr/>
            </w:pPr>
            <w:r>
              <w:rPr/>
              <w:t>6</w:t>
            </w:r>
            <w:r>
              <w:rPr/>
              <w:t>)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исполнительного органа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w:t>
              <w:br/>
              <w:t>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s1"/>
              <w:shd w:val="clear" w:color="auto" w:fill="FFFFFF"/>
              <w:spacing w:before="0" w:after="0"/>
              <w:jc w:val="both"/>
              <w:rPr/>
            </w:pPr>
            <w:r>
              <w:rPr/>
              <w:t>7</w:t>
            </w:r>
            <w:r>
              <w:rPr/>
              <w:t>)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причинённого указанному объекту при осуществлении реконструкции;</w:t>
            </w:r>
          </w:p>
          <w:p>
            <w:pPr>
              <w:pStyle w:val="s1"/>
              <w:shd w:val="clear" w:color="auto" w:fill="FFFFFF"/>
              <w:spacing w:before="0" w:after="0"/>
              <w:jc w:val="both"/>
              <w:rPr/>
            </w:pPr>
            <w:r>
              <w:rPr/>
              <w:t>8)</w:t>
            </w:r>
            <w:r>
              <w:rPr/>
              <w:t xml:space="preserve">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ГрК РФ, если иное не установлено частью 7.3 статьи 51 ГрК РФ (в случае, если указанные документы (их копии или сведения в них) отсутствуют в Едином государственном реестре недвижимости или Едином государственном реестре заключений);</w:t>
            </w:r>
          </w:p>
          <w:p>
            <w:pPr>
              <w:pStyle w:val="s1"/>
              <w:shd w:val="clear" w:color="auto" w:fill="FFFFFF"/>
              <w:spacing w:before="0" w:after="0"/>
              <w:jc w:val="both"/>
              <w:rPr/>
            </w:pPr>
            <w:r>
              <w:rPr/>
              <w:t>9</w:t>
            </w:r>
            <w:r>
              <w:rPr/>
              <w:t>) результаты инженерных изысканий и следующие материалы, содержащиеся в утверждённой в соответствии с частью 15 статьи 48 ГрК РФ проектной документации (в случае, если указанные документы (их копии или сведения в них) отсутствуют в Едином государственном реестре недвижимости или Едином государственном реестре заключений):</w:t>
            </w:r>
          </w:p>
          <w:p>
            <w:pPr>
              <w:pStyle w:val="s1"/>
              <w:shd w:val="clear" w:color="auto" w:fill="FFFFFF"/>
              <w:spacing w:before="0" w:after="0"/>
              <w:jc w:val="both"/>
              <w:rPr/>
            </w:pPr>
            <w:r>
              <w:rPr/>
              <w:t>а) пояснительная записка;</w:t>
            </w:r>
          </w:p>
          <w:p>
            <w:pPr>
              <w:pStyle w:val="s1"/>
              <w:shd w:val="clear" w:color="auto" w:fill="FFFFFF"/>
              <w:spacing w:before="0" w:after="0"/>
              <w:jc w:val="both"/>
              <w:rPr/>
            </w:pPr>
            <w:r>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pPr>
              <w:pStyle w:val="s1"/>
              <w:shd w:val="clear" w:color="auto" w:fill="FFFFFF"/>
              <w:spacing w:before="0" w:after="0"/>
              <w:jc w:val="both"/>
              <w:rPr/>
            </w:pPr>
            <w:r>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pPr>
              <w:pStyle w:val="s1"/>
              <w:shd w:val="clear" w:color="auto" w:fill="FFFFFF"/>
              <w:spacing w:before="0" w:after="0"/>
              <w:jc w:val="both"/>
              <w:rPr/>
            </w:pPr>
            <w:r>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pPr>
              <w:pStyle w:val="s1"/>
              <w:shd w:val="clear" w:color="auto" w:fill="FFFFFF"/>
              <w:spacing w:before="0" w:after="0"/>
              <w:jc w:val="both"/>
              <w:rPr/>
            </w:pPr>
            <w:r>
              <w:rPr/>
              <w:t>1</w:t>
            </w:r>
            <w:r>
              <w:rPr/>
              <w:t>0</w:t>
            </w:r>
            <w:r>
              <w:rPr/>
              <w:t>)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осуществляется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статьёй 49 ГрК РФ, положительное заключение государственной экспертизы проектной документации в случаях, предусмотренных частью 3.4 статьи 49 ГрК РФ, положительное заключение государственной экологической экспертизы проектной документации в случаях, предусмотренных частью 6 статьи 49 ГрК РФ (в случае, если указанные документы (их копии или сведения в них) отсутствуют в Едином государственном реестре недвижимости или Едином государственном реестре заключений)</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pPr>
              <w:pStyle w:val="s1"/>
              <w:shd w:val="clear" w:color="auto" w:fill="FFFFFF"/>
              <w:spacing w:before="0" w:after="0"/>
              <w:ind w:left="85" w:right="85"/>
              <w:jc w:val="both"/>
              <w:rPr/>
            </w:pPr>
            <w:r>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ГрК РФ, если иное не установлено частью 7.3 статьи 51 ГрК РФ (при наличии сведений в Едином государственный реестр недвижимости или Едином государственном реестре заключений);</w:t>
            </w:r>
          </w:p>
          <w:p>
            <w:pPr>
              <w:pStyle w:val="s1"/>
              <w:shd w:val="clear" w:color="auto" w:fill="FFFFFF"/>
              <w:spacing w:before="0" w:after="0"/>
              <w:ind w:left="85" w:right="85"/>
              <w:jc w:val="both"/>
              <w:rPr/>
            </w:pPr>
            <w:r>
              <w:rPr/>
              <w:t>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заключённого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pPr>
              <w:pStyle w:val="s1"/>
              <w:shd w:val="clear" w:color="auto" w:fill="FFFFFF"/>
              <w:spacing w:before="0" w:after="0"/>
              <w:ind w:left="85" w:right="85"/>
              <w:jc w:val="both"/>
              <w:rPr/>
            </w:pPr>
            <w:r>
              <w:rP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pPr>
              <w:pStyle w:val="s1"/>
              <w:shd w:val="clear" w:color="auto" w:fill="FFFFFF"/>
              <w:spacing w:before="0" w:after="0"/>
              <w:ind w:left="85" w:right="85"/>
              <w:jc w:val="both"/>
              <w:rPr/>
            </w:pPr>
            <w:r>
              <w:rPr/>
              <w:t>4) результаты инженерных изысканий и следующие материалы, содержащиеся в утверждённой в соответствии с частью 15 статьи 48 ГрК РФ проектной документации:</w:t>
            </w:r>
          </w:p>
          <w:p>
            <w:pPr>
              <w:pStyle w:val="s1"/>
              <w:shd w:val="clear" w:color="auto" w:fill="FFFFFF"/>
              <w:spacing w:before="0" w:after="0"/>
              <w:ind w:left="85" w:right="85"/>
              <w:jc w:val="both"/>
              <w:rPr/>
            </w:pPr>
            <w:r>
              <w:rPr/>
              <w:t>а) пояснительная записка;</w:t>
            </w:r>
          </w:p>
          <w:p>
            <w:pPr>
              <w:pStyle w:val="s1"/>
              <w:shd w:val="clear" w:color="auto" w:fill="FFFFFF"/>
              <w:spacing w:before="0" w:after="0"/>
              <w:ind w:left="85" w:right="85"/>
              <w:jc w:val="both"/>
              <w:rPr/>
            </w:pPr>
            <w:r>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pPr>
              <w:pStyle w:val="s1"/>
              <w:shd w:val="clear" w:color="auto" w:fill="FFFFFF"/>
              <w:spacing w:before="0" w:after="0"/>
              <w:ind w:left="85" w:right="85"/>
              <w:jc w:val="both"/>
              <w:rPr/>
            </w:pPr>
            <w:r>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pPr>
              <w:pStyle w:val="s1"/>
              <w:shd w:val="clear" w:color="auto" w:fill="FFFFFF"/>
              <w:spacing w:before="0" w:after="0"/>
              <w:ind w:left="85" w:right="85"/>
              <w:jc w:val="both"/>
              <w:rPr/>
            </w:pPr>
            <w:r>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pPr>
              <w:pStyle w:val="s1"/>
              <w:shd w:val="clear" w:color="auto" w:fill="FFFFFF"/>
              <w:spacing w:before="0" w:after="0"/>
              <w:ind w:left="85" w:right="85"/>
              <w:jc w:val="both"/>
              <w:rPr/>
            </w:pPr>
            <w:r>
              <w:rPr/>
              <w:t>запрашиваются при наличии указанных документов (их копии или сведения, содержащиеся в них) в Едином государственном реестре недвижимости или Едином государственном реестре заключений;</w:t>
            </w:r>
          </w:p>
          <w:p>
            <w:pPr>
              <w:pStyle w:val="s1"/>
              <w:shd w:val="clear" w:color="auto" w:fill="FFFFFF"/>
              <w:spacing w:before="0" w:after="0"/>
              <w:ind w:left="85" w:right="85"/>
              <w:jc w:val="both"/>
              <w:rPr/>
            </w:pPr>
            <w:r>
              <w:rPr/>
              <w:t>5)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осуществляется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статьей 49 ГрК РФ, положительное заключение государственной экспертизы проектной документации в случаях, предусмотренных частью 3.4 статьи 49 ГрК РФ, положительное заключение государственной экологической экспертизы проектной документации в случаях, предусмотренных частью 6 статьи 49 ГрК РФ (при наличии данных документов (их копии или сведения, содержащиеся в них) в Едином государственном реестре недвижимости или Едином государственном реестре заключений;</w:t>
            </w:r>
          </w:p>
          <w:p>
            <w:pPr>
              <w:pStyle w:val="s1"/>
              <w:shd w:val="clear" w:color="auto" w:fill="FFFFFF"/>
              <w:spacing w:before="0" w:after="0"/>
              <w:ind w:left="85" w:right="85"/>
              <w:jc w:val="both"/>
              <w:rPr/>
            </w:pPr>
            <w:r>
              <w:rPr/>
              <w:t>6) подтверждение соответствия вносимых в проектную документацию изменений требованиям, указанным в части 3.8 статьи 49 ГрК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ГрК РФ;</w:t>
            </w:r>
          </w:p>
          <w:p>
            <w:pPr>
              <w:pStyle w:val="s1"/>
              <w:shd w:val="clear" w:color="auto" w:fill="FFFFFF"/>
              <w:spacing w:before="0" w:after="0"/>
              <w:ind w:left="85" w:right="85"/>
              <w:jc w:val="both"/>
              <w:rPr/>
            </w:pPr>
            <w:r>
              <w:rPr/>
              <w:t>7) подтверждение соответствия вносимых в проектную документацию изменений требованиям, указанным в части 3.9 статьи 49 ГрК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pPr>
              <w:pStyle w:val="s1"/>
              <w:shd w:val="clear" w:color="auto" w:fill="FFFFFF"/>
              <w:spacing w:before="0" w:after="0"/>
              <w:ind w:left="85" w:right="85"/>
              <w:jc w:val="both"/>
              <w:rPr/>
            </w:pPr>
            <w:r>
              <w:rPr/>
              <w:t>8)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статьёй 40 ГрК РФ);</w:t>
            </w:r>
          </w:p>
          <w:p>
            <w:pPr>
              <w:pStyle w:val="s1"/>
              <w:shd w:val="clear" w:color="auto" w:fill="FFFFFF"/>
              <w:spacing w:before="0" w:after="0"/>
              <w:ind w:left="85" w:right="85"/>
              <w:jc w:val="both"/>
              <w:rPr/>
            </w:pPr>
            <w:r>
              <w:rPr/>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pPr>
              <w:pStyle w:val="s1"/>
              <w:widowControl w:val="false"/>
              <w:shd w:val="clear" w:color="auto" w:fill="FFFFFF"/>
              <w:spacing w:before="0" w:after="0"/>
              <w:ind w:left="85" w:right="85"/>
              <w:jc w:val="both"/>
              <w:rPr/>
            </w:pPr>
            <w:r>
              <w:rPr/>
              <w:t>10)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заключён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представление копий таких договора о комплексном развитии территории и (или) решения не требуется</w:t>
            </w:r>
          </w:p>
        </w:tc>
      </w:tr>
      <w:tr>
        <w:trPr/>
        <w:tc>
          <w:tcPr>
            <w:tcW w:w="540" w:type="dxa"/>
            <w:tcBorders>
              <w:top w:val="single" w:sz="4" w:space="0" w:color="000000"/>
              <w:left w:val="single" w:sz="4" w:space="0" w:color="000000"/>
              <w:bottom w:val="single" w:sz="4" w:space="0" w:color="000000"/>
              <w:right w:val="single" w:sz="4" w:space="0" w:color="000000"/>
            </w:tcBorders>
          </w:tcPr>
          <w:p>
            <w:pPr>
              <w:pStyle w:val="Normal"/>
              <w:jc w:val="both"/>
              <w:rPr>
                <w:szCs w:val="24"/>
                <w:shd w:fill="FFFFFF" w:val="clear"/>
              </w:rPr>
            </w:pPr>
            <w:r>
              <w:rPr>
                <w:szCs w:val="24"/>
                <w:shd w:fill="FFFFFF" w:val="clear"/>
              </w:rPr>
              <w:t>2.</w:t>
            </w:r>
          </w:p>
        </w:tc>
        <w:tc>
          <w:tcPr>
            <w:tcW w:w="2403" w:type="dxa"/>
            <w:tcBorders>
              <w:top w:val="single" w:sz="4" w:space="0" w:color="000000"/>
              <w:left w:val="single" w:sz="4" w:space="0" w:color="000000"/>
              <w:bottom w:val="single" w:sz="4" w:space="0" w:color="000000"/>
              <w:right w:val="single" w:sz="4" w:space="0" w:color="000000"/>
            </w:tcBorders>
          </w:tcPr>
          <w:p>
            <w:pPr>
              <w:pStyle w:val="Normal"/>
              <w:suppressAutoHyphens w:val="false"/>
              <w:jc w:val="both"/>
              <w:rPr/>
            </w:pPr>
            <w:r>
              <w:rPr/>
              <w:t>Лица, указанные в частях 21.5 – 21.7 и 21.9 статьи 51 ГрК РФ при подаче заявления о внесении изменений в разрешение на строительство (в том числе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 при подаче заявления о внесении изменений в разрешение на строительство исключительно в связи с продлением срока действия такого разрешения)</w:t>
            </w:r>
          </w:p>
        </w:tc>
        <w:tc>
          <w:tcPr>
            <w:tcW w:w="2410" w:type="dxa"/>
            <w:tcBorders>
              <w:top w:val="single" w:sz="4" w:space="0" w:color="000000"/>
              <w:left w:val="single" w:sz="4" w:space="0" w:color="000000"/>
              <w:bottom w:val="single" w:sz="4" w:space="0" w:color="000000"/>
              <w:right w:val="single" w:sz="4" w:space="0" w:color="000000"/>
            </w:tcBorders>
          </w:tcPr>
          <w:p>
            <w:pPr>
              <w:pStyle w:val="Normal"/>
              <w:jc w:val="both"/>
              <w:rPr>
                <w:shd w:fill="FFFFFF" w:val="clear"/>
              </w:rPr>
            </w:pPr>
            <w:r>
              <w:rPr>
                <w:shd w:fill="FFFFFF" w:val="clear"/>
              </w:rPr>
              <w:t>1. В электронной форме посредством Портала.</w:t>
            </w:r>
          </w:p>
          <w:p>
            <w:pPr>
              <w:pStyle w:val="NoSpacing"/>
              <w:suppressAutoHyphens w:val="false"/>
              <w:jc w:val="both"/>
              <w:rPr>
                <w:shd w:fill="FFFFFF" w:val="clear"/>
              </w:rPr>
            </w:pPr>
            <w:r>
              <w:rPr>
                <w:shd w:fill="FFFFFF" w:val="clear"/>
              </w:rPr>
              <w:t>2. На бумажном но-сителе посредством личного обращения в уполномоченный орган, в том числе через МФЦ,</w:t>
            </w:r>
            <w:r>
              <w:rPr/>
              <w:t xml:space="preserve"> </w:t>
            </w:r>
            <w:r>
              <w:rPr>
                <w:shd w:fill="FFFFFF" w:val="clear"/>
              </w:rPr>
              <w:t>в соответствии с Соглашением о взаимодействии между МФЦ и администрацией муниципального образования Ейский муниципальный район Краснодарского края.</w:t>
            </w:r>
          </w:p>
          <w:p>
            <w:pPr>
              <w:pStyle w:val="NoSpacing"/>
              <w:suppressAutoHyphens w:val="false"/>
              <w:jc w:val="both"/>
              <w:rPr>
                <w:shd w:fill="FFFFFF" w:val="clear"/>
              </w:rPr>
            </w:pPr>
            <w:r>
              <w:rPr>
                <w:shd w:fill="FFFFFF" w:val="clear"/>
              </w:rPr>
              <w:t>3. С использованием соответствующих информационных систем.</w:t>
            </w:r>
          </w:p>
          <w:p>
            <w:pPr>
              <w:pStyle w:val="NoSpacing"/>
              <w:suppressAutoHyphens w:val="false"/>
              <w:jc w:val="both"/>
              <w:rPr>
                <w:shd w:fill="FFFFFF" w:val="clear"/>
              </w:rPr>
            </w:pPr>
            <w:r>
              <w:rPr>
                <w:shd w:fill="FFFFFF" w:val="clear"/>
              </w:rPr>
              <w:t xml:space="preserve">4. С использованием единой информационной системы жилищного строительства, предусмотренной Федеральным </w:t>
            </w:r>
            <w:r>
              <w:rPr>
                <w:spacing w:val="-6"/>
                <w:shd w:fill="FFFFFF" w:val="clear"/>
              </w:rPr>
              <w:t>законом от 30.12.2004 № 214-ФЗ</w:t>
            </w:r>
            <w:r>
              <w:rPr>
                <w:shd w:fill="FFFFFF" w:val="clear"/>
              </w:rPr>
              <w:t xml:space="preserve">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(для застройщиков, наименования которых содержат слова «специализированный застройщик»)</w:t>
            </w:r>
          </w:p>
          <w:p>
            <w:pPr>
              <w:pStyle w:val="NoSpacing"/>
              <w:suppressAutoHyphens w:val="false"/>
              <w:jc w:val="both"/>
              <w:rPr/>
            </w:pPr>
            <w:r>
              <w:rPr/>
            </w:r>
          </w:p>
        </w:tc>
        <w:tc>
          <w:tcPr>
            <w:tcW w:w="2692" w:type="dxa"/>
            <w:tcBorders>
              <w:top w:val="single" w:sz="4" w:space="0" w:color="000000"/>
              <w:left w:val="single" w:sz="4" w:space="0" w:color="000000"/>
              <w:bottom w:val="single" w:sz="4" w:space="0" w:color="000000"/>
              <w:right w:val="single" w:sz="4" w:space="0" w:color="000000"/>
            </w:tcBorders>
          </w:tcPr>
          <w:p>
            <w:pPr>
              <w:pStyle w:val="Normal"/>
              <w:suppressAutoHyphens w:val="false"/>
              <w:jc w:val="both"/>
              <w:rPr>
                <w:rFonts w:ascii="Calibri" w:hAnsi="Calibri" w:asciiTheme="minorHAnsi" w:hAnsiTheme="minorHAnsi"/>
                <w:szCs w:val="24"/>
              </w:rPr>
            </w:pPr>
            <w:r>
              <w:rPr>
                <w:szCs w:val="24"/>
                <w:shd w:fill="FFFFFF" w:val="clear"/>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 в том числе постановление Правительства Российской Федерации от 07.10.2029 № 1294 «</w:t>
            </w:r>
            <w:r>
              <w:rPr>
                <w:color w:val="22272F"/>
                <w:szCs w:val="24"/>
                <w:shd w:fill="FFFFFF" w:val="clear"/>
              </w:rPr>
              <w:t>Об утверждении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w:t>
            </w:r>
          </w:p>
          <w:p>
            <w:pPr>
              <w:pStyle w:val="Normal"/>
              <w:suppressAutoHyphens w:val="false"/>
              <w:jc w:val="both"/>
              <w:rPr/>
            </w:pPr>
            <w:r>
              <w:rPr/>
            </w:r>
          </w:p>
        </w:tc>
        <w:tc>
          <w:tcPr>
            <w:tcW w:w="3686" w:type="dxa"/>
            <w:tcBorders>
              <w:top w:val="single" w:sz="4" w:space="0" w:color="000000"/>
              <w:left w:val="single" w:sz="4" w:space="0" w:color="000000"/>
              <w:bottom w:val="single" w:sz="4" w:space="0" w:color="000000"/>
              <w:right w:val="single" w:sz="4" w:space="0" w:color="000000"/>
            </w:tcBorders>
          </w:tcPr>
          <w:p>
            <w:pPr>
              <w:pStyle w:val="s1"/>
              <w:shd w:val="clear" w:color="auto" w:fill="FFFFFF"/>
              <w:spacing w:before="0" w:after="0"/>
              <w:jc w:val="both"/>
              <w:rPr/>
            </w:pPr>
            <w:r>
              <w:rPr/>
              <w:t>Лица, указанные в частях 21.5 - 21.7 и 21.9 статьи 51 ГрК РФ, обязаны направить уведомление в уполномоченный орган о переходе к ним прав на земельные участки, права пользования недрами, об образовании земельного участка с указанием реквизитов:</w:t>
            </w:r>
          </w:p>
          <w:p>
            <w:pPr>
              <w:pStyle w:val="s1"/>
              <w:shd w:val="clear" w:color="auto" w:fill="FFFFFF"/>
              <w:spacing w:before="0" w:after="0"/>
              <w:jc w:val="both"/>
              <w:rPr/>
            </w:pPr>
            <w:r>
              <w:rPr/>
              <w:t>а) правоустанавливающих документов на такие земельные участки в случае, указанном в части 21.5 статьи 51 ГрК РФ;</w:t>
            </w:r>
          </w:p>
          <w:p>
            <w:pPr>
              <w:pStyle w:val="s1"/>
              <w:shd w:val="clear" w:color="auto" w:fill="FFFFFF"/>
              <w:spacing w:before="0" w:after="0"/>
              <w:jc w:val="both"/>
              <w:rPr/>
            </w:pPr>
            <w:r>
              <w:rPr/>
              <w:t>б) решения об образовании земельных участков в случаях, предусмотренных частями 21.6 и 21.7 статьи 51 ГрК РФ,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pPr>
              <w:pStyle w:val="s1"/>
              <w:shd w:val="clear" w:color="auto" w:fill="FFFFFF"/>
              <w:spacing w:before="0" w:after="0"/>
              <w:jc w:val="both"/>
              <w:rPr/>
            </w:pPr>
            <w:r>
              <w:rPr/>
              <w:t>в)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ГрК РФ;</w:t>
            </w:r>
          </w:p>
          <w:p>
            <w:pPr>
              <w:pStyle w:val="s1"/>
              <w:shd w:val="clear" w:color="auto" w:fill="FFFFFF"/>
              <w:spacing w:before="0" w:after="0"/>
              <w:jc w:val="both"/>
              <w:rPr/>
            </w:pPr>
            <w:r>
              <w:rPr/>
              <w:t>г)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статьи 51 ГрК РФ.</w:t>
            </w:r>
          </w:p>
          <w:p>
            <w:pPr>
              <w:pStyle w:val="s1"/>
              <w:shd w:val="clear" w:color="auto" w:fill="FFFFFF"/>
              <w:spacing w:before="0" w:after="0"/>
              <w:jc w:val="both"/>
              <w:rPr/>
            </w:pPr>
            <w:r>
              <w:rPr/>
              <w:t xml:space="preserve">Заявителем в том числе представляется заявление о внесении изменений в разрешение на строительство (в том числе в связи с продлением срока действия разрешения на строительство) объекта согласно приложению </w:t>
              <w:br/>
              <w:t>№ 4 к настоящему регламенту.</w:t>
            </w:r>
          </w:p>
          <w:p>
            <w:pPr>
              <w:pStyle w:val="s1"/>
              <w:shd w:val="clear" w:color="auto" w:fill="FFFFFF"/>
              <w:spacing w:before="0" w:after="0"/>
              <w:jc w:val="both"/>
              <w:rPr/>
            </w:pPr>
            <w:r>
              <w:rPr/>
              <w:t>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уполномоченный орган обязано представить лицо, указанное в части 21.5 статьи 51 ГрК РФ.</w:t>
            </w:r>
          </w:p>
          <w:p>
            <w:pPr>
              <w:pStyle w:val="s1"/>
              <w:shd w:val="clear" w:color="auto" w:fill="FFFFFF"/>
              <w:spacing w:before="0" w:after="0"/>
              <w:jc w:val="both"/>
              <w:rPr/>
            </w:pPr>
            <w:r>
              <w:rPr>
                <w:shd w:fill="FFFFFF" w:val="clear"/>
              </w:rPr>
              <w:t>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w:t>
            </w:r>
          </w:p>
          <w:p>
            <w:pPr>
              <w:pStyle w:val="s1"/>
              <w:shd w:val="clear" w:color="auto" w:fill="FFFFFF"/>
              <w:spacing w:before="0" w:after="0"/>
              <w:jc w:val="both"/>
              <w:rPr/>
            </w:pPr>
            <w:r>
              <w:rPr/>
              <w:t>1) заявление о внесении изменений в разрешение на строительство объекта согласно приложению № 2 к настоящему регламенту;</w:t>
            </w:r>
          </w:p>
          <w:p>
            <w:pPr>
              <w:pStyle w:val="s1"/>
              <w:shd w:val="clear" w:color="auto" w:fill="FFFFFF"/>
              <w:spacing w:before="0" w:after="0"/>
              <w:jc w:val="both"/>
              <w:rPr/>
            </w:pPr>
            <w:r>
              <w:rPr/>
              <w:t>2) копии документов, удостоверяющих личность заявителя (паспорт);</w:t>
            </w:r>
          </w:p>
          <w:p>
            <w:pPr>
              <w:pStyle w:val="s1"/>
              <w:shd w:val="clear" w:color="auto" w:fill="FFFFFF"/>
              <w:spacing w:before="0" w:after="0"/>
              <w:jc w:val="both"/>
              <w:rPr/>
            </w:pPr>
            <w:r>
              <w:rPr/>
              <w:t>3) согласие всех правообладателей объекта капитального строительства в случае реконструкции такого объекта, за исключением случаев, указанных в подпункте 4) настоящей графы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pPr>
              <w:pStyle w:val="s1"/>
              <w:shd w:val="clear" w:color="auto" w:fill="FFFFFF"/>
              <w:spacing w:before="0" w:after="0"/>
              <w:jc w:val="both"/>
              <w:rPr/>
            </w:pPr>
            <w:r>
              <w:rPr/>
              <w:t>4)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pPr>
              <w:pStyle w:val="s1"/>
              <w:shd w:val="clear" w:color="auto" w:fill="FFFFFF"/>
              <w:spacing w:before="0" w:after="0"/>
              <w:jc w:val="both"/>
              <w:rPr/>
            </w:pPr>
            <w:r>
              <w:rPr/>
              <w:t>5) согласование архитектурно-градостроительного облика объекта капитального строительства в случае, если такое согласование предусмотрено статьёй 40.1 ГрК РФ;</w:t>
            </w:r>
          </w:p>
          <w:p>
            <w:pPr>
              <w:pStyle w:val="s1"/>
              <w:shd w:val="clear" w:color="auto" w:fill="FFFFFF"/>
              <w:spacing w:before="0" w:after="0"/>
              <w:jc w:val="both"/>
              <w:rPr/>
            </w:pPr>
            <w:r>
              <w:rPr/>
              <w:t>6)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pPr>
              <w:pStyle w:val="s1"/>
              <w:shd w:val="clear" w:color="auto" w:fill="FFFFFF"/>
              <w:spacing w:before="0" w:after="0"/>
              <w:contextualSpacing/>
              <w:jc w:val="both"/>
              <w:rPr/>
            </w:pPr>
            <w:r>
              <w:rPr/>
              <w:t>7)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исполнительного органа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s1"/>
              <w:shd w:val="clear" w:color="auto" w:fill="FFFFFF"/>
              <w:spacing w:before="0" w:after="0"/>
              <w:contextualSpacing/>
              <w:jc w:val="both"/>
              <w:rPr/>
            </w:pPr>
            <w:r>
              <w:rPr/>
              <w:t>8)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pPr>
              <w:pStyle w:val="s1"/>
              <w:shd w:val="clear" w:color="auto" w:fill="FFFFFF"/>
              <w:spacing w:before="0" w:after="0"/>
              <w:jc w:val="both"/>
              <w:rPr/>
            </w:pPr>
            <w:r>
              <w:rPr/>
              <w:t>9)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ГрК РФ, если иное не установлено частью 7.3 статьи 51 ГрК РФ (в случае, если указанные документы (их копии или сведения в них) отсутствуют в Едином государственном реестре недвижимости или Едином государственном реестре заключений);</w:t>
            </w:r>
          </w:p>
          <w:p>
            <w:pPr>
              <w:pStyle w:val="s1"/>
              <w:shd w:val="clear" w:color="auto" w:fill="FFFFFF"/>
              <w:spacing w:before="0" w:after="0"/>
              <w:contextualSpacing/>
              <w:jc w:val="both"/>
              <w:rPr/>
            </w:pPr>
            <w:r>
              <w:rPr/>
              <w:t>10) результаты инженерных изысканий и следующие материалы, содержащиеся в утверждённой в соответствии с частью 15 статьи 48 ГрК РФ проектной документации (в случае, если указанные документы (их копии или сведения в них) отсутствуют в Едином государственном реестре недвижимости или Едином государственном реестре заключений):</w:t>
            </w:r>
          </w:p>
          <w:p>
            <w:pPr>
              <w:pStyle w:val="s1"/>
              <w:shd w:val="clear" w:color="auto" w:fill="FFFFFF"/>
              <w:spacing w:before="0" w:after="0"/>
              <w:contextualSpacing/>
              <w:jc w:val="both"/>
              <w:rPr/>
            </w:pPr>
            <w:r>
              <w:rPr/>
              <w:t>а) пояснительная записка;</w:t>
            </w:r>
          </w:p>
          <w:p>
            <w:pPr>
              <w:pStyle w:val="s1"/>
              <w:shd w:val="clear" w:color="auto" w:fill="FFFFFF"/>
              <w:spacing w:before="0" w:after="0"/>
              <w:contextualSpacing/>
              <w:jc w:val="both"/>
              <w:rPr/>
            </w:pPr>
            <w:r>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pPr>
              <w:pStyle w:val="s1"/>
              <w:shd w:val="clear" w:color="auto" w:fill="FFFFFF"/>
              <w:spacing w:before="0" w:after="0"/>
              <w:contextualSpacing/>
              <w:jc w:val="both"/>
              <w:rPr/>
            </w:pPr>
            <w:r>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pPr>
              <w:pStyle w:val="s1"/>
              <w:shd w:val="clear" w:color="auto" w:fill="FFFFFF"/>
              <w:spacing w:before="0" w:after="0"/>
              <w:contextualSpacing/>
              <w:jc w:val="both"/>
              <w:rPr/>
            </w:pPr>
            <w:r>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pPr>
              <w:pStyle w:val="s1"/>
              <w:widowControl w:val="false"/>
              <w:shd w:val="clear" w:color="auto" w:fill="FFFFFF"/>
              <w:spacing w:before="0" w:after="0"/>
              <w:contextualSpacing/>
              <w:jc w:val="both"/>
              <w:rPr/>
            </w:pPr>
            <w:r>
              <w:rPr/>
              <w:t>11)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осуществляется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статьёй 49 ГрК РФ, положительное заключение государственной экспертизы проектной документации в случаях, предусмотренных частью 3.4 статьи 49 ГрК РФ, положительное заключение государственной экологической экспертизы проектной документации в случаях, предусмотренных частью 6 статьи 49 ГрК РФ (в случае, если указанные документы (их копии или сведения в них) отсутствуют в Едином государственном реестре недвижимости или Едином государственном реестре заключений)</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pPr>
              <w:pStyle w:val="s1"/>
              <w:shd w:val="clear" w:color="auto" w:fill="FFFFFF"/>
              <w:spacing w:before="0" w:after="0"/>
              <w:ind w:left="85" w:right="85"/>
              <w:jc w:val="both"/>
              <w:rPr/>
            </w:pPr>
            <w:r>
              <w:rPr/>
              <w:t>В случае, если документы, предусмотренные подпунктами а) - г) графы 5 настоящего пункта, не представлены заявителем, уполномоченный орган обязан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pPr>
              <w:pStyle w:val="s1"/>
              <w:shd w:val="clear" w:color="auto" w:fill="FFFFFF"/>
              <w:spacing w:before="0" w:after="0"/>
              <w:ind w:left="85" w:right="85"/>
              <w:jc w:val="both"/>
              <w:rPr/>
            </w:pPr>
            <w:r>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ГрК РФ, если иное не установлено частью 7.3 статьи 51 ГрК РФ (при наличии сведений в Едином государственный реестр недвижимости или Едином государственном реестре заключений);</w:t>
            </w:r>
          </w:p>
          <w:p>
            <w:pPr>
              <w:pStyle w:val="s1"/>
              <w:shd w:val="clear" w:color="auto" w:fill="FFFFFF"/>
              <w:spacing w:before="0" w:after="0"/>
              <w:ind w:left="85" w:right="85"/>
              <w:jc w:val="both"/>
              <w:rPr/>
            </w:pPr>
            <w:r>
              <w:rPr/>
              <w:t>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заключённого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pPr>
              <w:pStyle w:val="s1"/>
              <w:shd w:val="clear" w:color="auto" w:fill="FFFFFF"/>
              <w:spacing w:before="0" w:after="0"/>
              <w:ind w:left="85" w:right="85"/>
              <w:jc w:val="both"/>
              <w:rPr/>
            </w:pPr>
            <w:r>
              <w:rP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pPr>
              <w:pStyle w:val="s1"/>
              <w:shd w:val="clear" w:color="auto" w:fill="FFFFFF"/>
              <w:spacing w:before="0" w:after="0"/>
              <w:ind w:left="85" w:right="85"/>
              <w:jc w:val="both"/>
              <w:rPr/>
            </w:pPr>
            <w:r>
              <w:rPr/>
              <w:t>4) результаты инженерных изысканий и следующие материалы, содержащиеся в утверждённой в соответствии с частью 15 статьи 48 ГрК РФ проектной документации:</w:t>
            </w:r>
          </w:p>
          <w:p>
            <w:pPr>
              <w:pStyle w:val="s1"/>
              <w:shd w:val="clear" w:color="auto" w:fill="FFFFFF"/>
              <w:spacing w:before="0" w:after="0"/>
              <w:ind w:left="85" w:right="85"/>
              <w:jc w:val="both"/>
              <w:rPr/>
            </w:pPr>
            <w:r>
              <w:rPr/>
              <w:t>а) пояснительная записка;</w:t>
            </w:r>
          </w:p>
          <w:p>
            <w:pPr>
              <w:pStyle w:val="s1"/>
              <w:shd w:val="clear" w:color="auto" w:fill="FFFFFF"/>
              <w:spacing w:before="0" w:after="0"/>
              <w:ind w:left="85" w:right="85"/>
              <w:jc w:val="both"/>
              <w:rPr/>
            </w:pPr>
            <w:r>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pPr>
              <w:pStyle w:val="s1"/>
              <w:shd w:val="clear" w:color="auto" w:fill="FFFFFF"/>
              <w:spacing w:before="0" w:after="0"/>
              <w:ind w:left="85" w:right="85"/>
              <w:jc w:val="both"/>
              <w:rPr/>
            </w:pPr>
            <w:r>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pPr>
              <w:pStyle w:val="s1"/>
              <w:shd w:val="clear" w:color="auto" w:fill="FFFFFF"/>
              <w:spacing w:before="0" w:after="0"/>
              <w:ind w:left="85" w:right="85"/>
              <w:jc w:val="both"/>
              <w:rPr/>
            </w:pPr>
            <w:r>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pPr>
              <w:pStyle w:val="s1"/>
              <w:shd w:val="clear" w:color="auto" w:fill="FFFFFF"/>
              <w:spacing w:before="0" w:after="0"/>
              <w:ind w:left="85" w:right="85"/>
              <w:jc w:val="both"/>
              <w:rPr/>
            </w:pPr>
            <w:r>
              <w:rPr/>
              <w:t>запрашиваются при наличии указанных документов (их копии или сведения, содержащиеся в них) в Едином государственном реестре недвижимости или Едином государственном реестре заключений;</w:t>
            </w:r>
          </w:p>
          <w:p>
            <w:pPr>
              <w:pStyle w:val="s1"/>
              <w:shd w:val="clear" w:color="auto" w:fill="FFFFFF"/>
              <w:spacing w:before="0" w:after="0"/>
              <w:ind w:left="85" w:right="85"/>
              <w:jc w:val="both"/>
              <w:rPr/>
            </w:pPr>
            <w:r>
              <w:rPr/>
              <w:t>5)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осуществляется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статьей 49 ГрК РФ, положительное заключение государственной экспертизы проектной документации в случаях, предусмотренных частью 3.4 статьи 49 ГрК РФ, положительное заключение государственной экологической экспертизы проектной документации в случаях, предусмотренных частью 6 статьи 49 ГрК РФ (при наличии данных документов (их копии или сведения, содержащиеся в них) в Едином государственном реестре недвижимости или Едином государственном реестре заключений;</w:t>
            </w:r>
          </w:p>
          <w:p>
            <w:pPr>
              <w:pStyle w:val="s1"/>
              <w:shd w:val="clear" w:color="auto" w:fill="FFFFFF"/>
              <w:spacing w:before="0" w:after="0"/>
              <w:ind w:left="85" w:right="85"/>
              <w:jc w:val="both"/>
              <w:rPr/>
            </w:pPr>
            <w:r>
              <w:rPr/>
              <w:t xml:space="preserve">6) подтверждение соответствия вносимых в проектную документацию изменений требованиям, указанным в части 3.8 статьи 49 ГрК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r>
              <w:rPr>
                <w:spacing w:val="-4"/>
              </w:rPr>
              <w:t>частью 3.8 статьи 49 ГрК РФ;</w:t>
            </w:r>
          </w:p>
          <w:p>
            <w:pPr>
              <w:pStyle w:val="s1"/>
              <w:shd w:val="clear" w:color="auto" w:fill="FFFFFF"/>
              <w:spacing w:before="0" w:after="0"/>
              <w:ind w:left="85" w:right="85"/>
              <w:jc w:val="both"/>
              <w:rPr>
                <w:spacing w:val="-4"/>
              </w:rPr>
            </w:pPr>
            <w:r>
              <w:rPr>
                <w:spacing w:val="-4"/>
              </w:rPr>
              <w:t>7) подтверждение соответствия вносимых в проектную документацию изменений требованиям, указанным в</w:t>
            </w:r>
            <w:r>
              <w:rPr/>
              <w:t xml:space="preserve"> части 3.9 статьи 49 ГрК РФ, </w:t>
            </w:r>
            <w:r>
              <w:rPr>
                <w:spacing w:val="-4"/>
              </w:rPr>
              <w:t>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pPr>
              <w:pStyle w:val="s1"/>
              <w:shd w:val="clear" w:color="auto" w:fill="FFFFFF"/>
              <w:spacing w:before="0" w:after="0"/>
              <w:ind w:left="85" w:right="85"/>
              <w:jc w:val="both"/>
              <w:rPr/>
            </w:pPr>
            <w:r>
              <w:rPr/>
              <w:t>8)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статьёй 40 ГрК РФ);</w:t>
            </w:r>
          </w:p>
          <w:p>
            <w:pPr>
              <w:pStyle w:val="s1"/>
              <w:shd w:val="clear" w:color="auto" w:fill="FFFFFF"/>
              <w:spacing w:before="0" w:after="0"/>
              <w:ind w:left="85" w:right="85"/>
              <w:jc w:val="both"/>
              <w:rPr/>
            </w:pPr>
            <w:r>
              <w:rPr/>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pPr>
              <w:pStyle w:val="s1"/>
              <w:shd w:val="clear" w:color="auto" w:fill="FFFFFF"/>
              <w:spacing w:before="0" w:after="0"/>
              <w:ind w:left="85" w:right="85"/>
              <w:jc w:val="both"/>
              <w:rPr/>
            </w:pPr>
            <w:r>
              <w:rPr/>
              <w:t>10)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заключён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представление копий таких договора о комплексном развитии территории и (или) решения не требуется</w:t>
            </w:r>
          </w:p>
        </w:tc>
      </w:tr>
      <w:tr>
        <w:trPr/>
        <w:tc>
          <w:tcPr>
            <w:tcW w:w="540" w:type="dxa"/>
            <w:tcBorders>
              <w:top w:val="single" w:sz="4" w:space="0" w:color="000000"/>
              <w:left w:val="single" w:sz="4" w:space="0" w:color="000000"/>
              <w:bottom w:val="single" w:sz="4" w:space="0" w:color="000000"/>
              <w:right w:val="single" w:sz="4" w:space="0" w:color="000000"/>
            </w:tcBorders>
          </w:tcPr>
          <w:p>
            <w:pPr>
              <w:pStyle w:val="Normal"/>
              <w:jc w:val="both"/>
              <w:rPr>
                <w:szCs w:val="24"/>
                <w:shd w:fill="FFFFFF" w:val="clear"/>
              </w:rPr>
            </w:pPr>
            <w:r>
              <w:rPr>
                <w:szCs w:val="24"/>
                <w:shd w:fill="FFFFFF" w:val="clear"/>
              </w:rPr>
              <w:t>3.</w:t>
            </w:r>
          </w:p>
        </w:tc>
        <w:tc>
          <w:tcPr>
            <w:tcW w:w="2403" w:type="dxa"/>
            <w:tcBorders>
              <w:top w:val="single" w:sz="4" w:space="0" w:color="000000"/>
              <w:left w:val="single" w:sz="4" w:space="0" w:color="000000"/>
              <w:bottom w:val="single" w:sz="4" w:space="0" w:color="000000"/>
              <w:right w:val="single" w:sz="4" w:space="0" w:color="000000"/>
            </w:tcBorders>
          </w:tcPr>
          <w:p>
            <w:pPr>
              <w:pStyle w:val="Normal"/>
              <w:suppressAutoHyphens w:val="false"/>
              <w:jc w:val="both"/>
              <w:rPr>
                <w:szCs w:val="24"/>
              </w:rPr>
            </w:pPr>
            <w:r>
              <w:rPr/>
              <w:t>Заявители, ранее обратившиеся за получением муниципальной услуги, по результатам предоставления которой выданы документы с допущенными опечатками и ошибками</w:t>
            </w:r>
          </w:p>
        </w:tc>
        <w:tc>
          <w:tcPr>
            <w:tcW w:w="2410" w:type="dxa"/>
            <w:tcBorders>
              <w:top w:val="single" w:sz="4" w:space="0" w:color="000000"/>
              <w:left w:val="single" w:sz="4" w:space="0" w:color="000000"/>
              <w:bottom w:val="single" w:sz="4" w:space="0" w:color="000000"/>
              <w:right w:val="single" w:sz="4" w:space="0" w:color="000000"/>
            </w:tcBorders>
          </w:tcPr>
          <w:p>
            <w:pPr>
              <w:pStyle w:val="Normal"/>
              <w:jc w:val="both"/>
              <w:rPr>
                <w:shd w:fill="FFFFFF" w:val="clear"/>
              </w:rPr>
            </w:pPr>
            <w:r>
              <w:rPr>
                <w:shd w:fill="FFFFFF" w:val="clear"/>
              </w:rPr>
              <w:t>1. В электронной форме посредством Портала.</w:t>
            </w:r>
          </w:p>
          <w:p>
            <w:pPr>
              <w:pStyle w:val="NoSpacing"/>
              <w:suppressAutoHyphens w:val="false"/>
              <w:jc w:val="both"/>
              <w:rPr>
                <w:shd w:fill="FFFFFF" w:val="clear"/>
              </w:rPr>
            </w:pPr>
            <w:r>
              <w:rPr>
                <w:shd w:fill="FFFFFF" w:val="clear"/>
              </w:rPr>
              <w:t>2. На бумажном но-сителе посредством личного обращения в уполномоченный орган, в том числе через МФЦ,</w:t>
            </w:r>
            <w:r>
              <w:rPr/>
              <w:t xml:space="preserve"> </w:t>
            </w:r>
            <w:r>
              <w:rPr>
                <w:shd w:fill="FFFFFF" w:val="clear"/>
              </w:rPr>
              <w:t>в соответствии с Соглашением о взаимодействии между МФЦ и администрацией муниципального образования Ейский муниципальный район Краснодарского края</w:t>
            </w:r>
          </w:p>
        </w:tc>
        <w:tc>
          <w:tcPr>
            <w:tcW w:w="2692" w:type="dxa"/>
            <w:tcBorders>
              <w:top w:val="single" w:sz="4" w:space="0" w:color="000000"/>
              <w:left w:val="single" w:sz="4" w:space="0" w:color="000000"/>
              <w:bottom w:val="single" w:sz="4" w:space="0" w:color="000000"/>
              <w:right w:val="single" w:sz="4" w:space="0" w:color="000000"/>
            </w:tcBorders>
          </w:tcPr>
          <w:p>
            <w:pPr>
              <w:pStyle w:val="Normal"/>
              <w:suppressAutoHyphens w:val="false"/>
              <w:jc w:val="both"/>
              <w:rPr>
                <w:szCs w:val="24"/>
              </w:rPr>
            </w:pPr>
            <w:r>
              <w:rPr>
                <w:szCs w:val="24"/>
                <w:shd w:fill="FFFFFF" w:val="clear"/>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w:t>
            </w:r>
          </w:p>
        </w:tc>
        <w:tc>
          <w:tcPr>
            <w:tcW w:w="3686" w:type="dxa"/>
            <w:tcBorders>
              <w:top w:val="single" w:sz="4" w:space="0" w:color="000000"/>
              <w:left w:val="single" w:sz="4" w:space="0" w:color="000000"/>
              <w:bottom w:val="single" w:sz="4" w:space="0" w:color="000000"/>
              <w:right w:val="single" w:sz="4" w:space="0" w:color="000000"/>
            </w:tcBorders>
          </w:tcPr>
          <w:p>
            <w:pPr>
              <w:pStyle w:val="s1"/>
              <w:widowControl w:val="false"/>
              <w:shd w:val="clear" w:color="auto" w:fill="FFFFFF"/>
              <w:spacing w:before="0" w:after="0"/>
              <w:jc w:val="both"/>
              <w:rPr/>
            </w:pPr>
            <w:r>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pPr>
              <w:pStyle w:val="s1"/>
              <w:widowControl w:val="false"/>
              <w:shd w:val="clear" w:color="auto" w:fill="FFFFFF"/>
              <w:spacing w:before="0" w:after="0"/>
              <w:jc w:val="both"/>
              <w:rPr/>
            </w:pPr>
            <w:r>
              <w:rPr/>
              <w:t>2) копия документа, удостоверяющего личность заявителя</w:t>
            </w:r>
          </w:p>
          <w:p>
            <w:pPr>
              <w:pStyle w:val="s1"/>
              <w:widowControl w:val="false"/>
              <w:shd w:val="clear" w:color="auto" w:fill="FFFFFF"/>
              <w:spacing w:before="0" w:after="0"/>
              <w:jc w:val="both"/>
              <w:rPr/>
            </w:pPr>
            <w:r>
              <w:rPr/>
              <w:t>3) документ, выданный по результату ранее предоставленной муниципальной услуги, в котором допущены опечатки и (или) ошибки</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pPr>
              <w:pStyle w:val="s1"/>
              <w:widowControl w:val="false"/>
              <w:shd w:val="clear" w:color="auto" w:fill="FFFFFF"/>
              <w:spacing w:before="0" w:after="0"/>
              <w:jc w:val="both"/>
              <w:rPr>
                <w:shd w:fill="FFFFFF" w:val="clear"/>
              </w:rPr>
            </w:pPr>
            <w:r>
              <w:rPr>
                <w:shd w:fill="FFFFFF" w:val="clear"/>
              </w:rPr>
              <w:t xml:space="preserve"> </w:t>
            </w:r>
            <w:r>
              <w:rPr>
                <w:shd w:fill="FFFFFF" w:val="clear"/>
              </w:rPr>
              <w:t>Отсутствуют</w:t>
            </w:r>
          </w:p>
        </w:tc>
      </w:tr>
      <w:tr>
        <w:trPr/>
        <w:tc>
          <w:tcPr>
            <w:tcW w:w="540" w:type="dxa"/>
            <w:tcBorders>
              <w:top w:val="single" w:sz="4" w:space="0" w:color="000000"/>
              <w:left w:val="single" w:sz="4" w:space="0" w:color="000000"/>
              <w:bottom w:val="single" w:sz="4" w:space="0" w:color="000000"/>
              <w:right w:val="single" w:sz="4" w:space="0" w:color="000000"/>
            </w:tcBorders>
          </w:tcPr>
          <w:p>
            <w:pPr>
              <w:pStyle w:val="Normal"/>
              <w:jc w:val="both"/>
              <w:rPr>
                <w:szCs w:val="24"/>
                <w:shd w:fill="FFFFFF" w:val="clear"/>
              </w:rPr>
            </w:pPr>
            <w:r>
              <w:rPr>
                <w:szCs w:val="24"/>
                <w:shd w:fill="FFFFFF" w:val="clear"/>
              </w:rPr>
              <w:t>4.</w:t>
            </w:r>
          </w:p>
        </w:tc>
        <w:tc>
          <w:tcPr>
            <w:tcW w:w="2403" w:type="dxa"/>
            <w:tcBorders>
              <w:top w:val="single" w:sz="4" w:space="0" w:color="000000"/>
              <w:left w:val="single" w:sz="4" w:space="0" w:color="000000"/>
              <w:bottom w:val="single" w:sz="4" w:space="0" w:color="000000"/>
              <w:right w:val="single" w:sz="4" w:space="0" w:color="000000"/>
            </w:tcBorders>
          </w:tcPr>
          <w:p>
            <w:pPr>
              <w:pStyle w:val="Normal"/>
              <w:suppressAutoHyphens w:val="false"/>
              <w:jc w:val="both"/>
              <w:rPr>
                <w:szCs w:val="24"/>
              </w:rPr>
            </w:pPr>
            <w:r>
              <w:rPr>
                <w:szCs w:val="24"/>
              </w:rPr>
              <w:t xml:space="preserve">Заявители, ранее </w:t>
            </w:r>
            <w:r>
              <w:rPr/>
              <w:t>обратившиеся</w:t>
            </w:r>
            <w:r>
              <w:rPr>
                <w:szCs w:val="24"/>
              </w:rPr>
              <w:t xml:space="preserve"> за получением муниципальной услуги за выдачей дубликата документа, выданного по результату её предоставления</w:t>
            </w:r>
          </w:p>
        </w:tc>
        <w:tc>
          <w:tcPr>
            <w:tcW w:w="2410" w:type="dxa"/>
            <w:tcBorders>
              <w:top w:val="single" w:sz="4" w:space="0" w:color="000000"/>
              <w:left w:val="single" w:sz="4" w:space="0" w:color="000000"/>
              <w:bottom w:val="single" w:sz="4" w:space="0" w:color="000000"/>
              <w:right w:val="single" w:sz="4" w:space="0" w:color="000000"/>
            </w:tcBorders>
          </w:tcPr>
          <w:p>
            <w:pPr>
              <w:pStyle w:val="Normal"/>
              <w:jc w:val="both"/>
              <w:rPr>
                <w:shd w:fill="FFFFFF" w:val="clear"/>
              </w:rPr>
            </w:pPr>
            <w:r>
              <w:rPr>
                <w:shd w:fill="FFFFFF" w:val="clear"/>
              </w:rPr>
              <w:t>1. В электронной форме посредством Портала.</w:t>
            </w:r>
          </w:p>
          <w:p>
            <w:pPr>
              <w:pStyle w:val="NoSpacing"/>
              <w:suppressAutoHyphens w:val="false"/>
              <w:jc w:val="both"/>
              <w:rPr>
                <w:shd w:fill="FFFFFF" w:val="clear"/>
              </w:rPr>
            </w:pPr>
            <w:r>
              <w:rPr>
                <w:shd w:fill="FFFFFF" w:val="clear"/>
              </w:rPr>
              <w:t>2. На бумажном но-сителе посредством личного обращения в уполномоченный орган, в том числе через МФЦ,</w:t>
            </w:r>
            <w:r>
              <w:rPr/>
              <w:t xml:space="preserve"> </w:t>
            </w:r>
            <w:r>
              <w:rPr>
                <w:shd w:fill="FFFFFF" w:val="clear"/>
              </w:rPr>
              <w:t>в соответствии с Соглашением о взаимодействии между МФЦ и администрацией муниципального образования Ейский муниципальный район Краснодарского края</w:t>
            </w:r>
          </w:p>
        </w:tc>
        <w:tc>
          <w:tcPr>
            <w:tcW w:w="2692" w:type="dxa"/>
            <w:tcBorders>
              <w:top w:val="single" w:sz="4" w:space="0" w:color="000000"/>
              <w:left w:val="single" w:sz="4" w:space="0" w:color="000000"/>
              <w:bottom w:val="single" w:sz="4" w:space="0" w:color="000000"/>
              <w:right w:val="single" w:sz="4" w:space="0" w:color="000000"/>
            </w:tcBorders>
          </w:tcPr>
          <w:p>
            <w:pPr>
              <w:pStyle w:val="Normal"/>
              <w:suppressAutoHyphens w:val="false"/>
              <w:jc w:val="both"/>
              <w:rPr>
                <w:rFonts w:ascii="Calibri" w:hAnsi="Calibri" w:asciiTheme="minorHAnsi" w:hAnsiTheme="minorHAnsi"/>
              </w:rPr>
            </w:pPr>
            <w:r>
              <w:rPr>
                <w:szCs w:val="24"/>
                <w:shd w:fill="FFFFFF" w:val="clear"/>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w:t>
            </w:r>
          </w:p>
        </w:tc>
        <w:tc>
          <w:tcPr>
            <w:tcW w:w="3686" w:type="dxa"/>
            <w:tcBorders>
              <w:top w:val="single" w:sz="4" w:space="0" w:color="000000"/>
              <w:left w:val="single" w:sz="4" w:space="0" w:color="000000"/>
              <w:bottom w:val="single" w:sz="4" w:space="0" w:color="000000"/>
              <w:right w:val="single" w:sz="4" w:space="0" w:color="000000"/>
            </w:tcBorders>
          </w:tcPr>
          <w:p>
            <w:pPr>
              <w:pStyle w:val="s1"/>
              <w:widowControl w:val="false"/>
              <w:shd w:val="clear" w:color="auto" w:fill="FFFFFF"/>
              <w:spacing w:before="0" w:after="0"/>
              <w:jc w:val="both"/>
              <w:rPr/>
            </w:pPr>
            <w:r>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pPr>
              <w:pStyle w:val="s1"/>
              <w:widowControl w:val="false"/>
              <w:shd w:val="clear" w:color="auto" w:fill="FFFFFF"/>
              <w:spacing w:before="0" w:after="0"/>
              <w:jc w:val="both"/>
              <w:rPr/>
            </w:pPr>
            <w:r>
              <w:rPr/>
              <w:t>2) копия документа, удостоверяющего личность заявителя</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pPr>
              <w:pStyle w:val="s1"/>
              <w:widowControl w:val="false"/>
              <w:shd w:val="clear" w:color="auto" w:fill="FFFFFF"/>
              <w:spacing w:before="0" w:after="0"/>
              <w:jc w:val="both"/>
              <w:rPr/>
            </w:pPr>
            <w:r>
              <w:rPr/>
              <w:t xml:space="preserve"> </w:t>
            </w:r>
            <w:r>
              <w:rPr>
                <w:shd w:fill="FFFFFF" w:val="clear"/>
              </w:rPr>
              <w:t>Отсутствуют</w:t>
            </w:r>
          </w:p>
        </w:tc>
      </w:tr>
      <w:tr>
        <w:trPr/>
        <w:tc>
          <w:tcPr>
            <w:tcW w:w="540" w:type="dxa"/>
            <w:tcBorders>
              <w:top w:val="single" w:sz="4" w:space="0" w:color="000000"/>
              <w:left w:val="single" w:sz="4" w:space="0" w:color="000000"/>
              <w:bottom w:val="single" w:sz="4" w:space="0" w:color="000000"/>
              <w:right w:val="single" w:sz="4" w:space="0" w:color="000000"/>
            </w:tcBorders>
          </w:tcPr>
          <w:p>
            <w:pPr>
              <w:pStyle w:val="Normal"/>
              <w:jc w:val="both"/>
              <w:rPr>
                <w:szCs w:val="24"/>
                <w:shd w:fill="FFFFFF" w:val="clear"/>
              </w:rPr>
            </w:pPr>
            <w:r>
              <w:rPr>
                <w:szCs w:val="24"/>
                <w:shd w:fill="FFFFFF" w:val="clear"/>
              </w:rPr>
              <w:t>5.</w:t>
            </w:r>
          </w:p>
        </w:tc>
        <w:tc>
          <w:tcPr>
            <w:tcW w:w="2403" w:type="dxa"/>
            <w:tcBorders>
              <w:top w:val="single" w:sz="4" w:space="0" w:color="000000"/>
              <w:left w:val="single" w:sz="4" w:space="0" w:color="000000"/>
              <w:bottom w:val="single" w:sz="4" w:space="0" w:color="000000"/>
              <w:right w:val="single" w:sz="4" w:space="0" w:color="000000"/>
            </w:tcBorders>
          </w:tcPr>
          <w:p>
            <w:pPr>
              <w:pStyle w:val="Normal"/>
              <w:suppressAutoHyphens w:val="false"/>
              <w:jc w:val="both"/>
              <w:rPr>
                <w:szCs w:val="24"/>
              </w:rPr>
            </w:pPr>
            <w:r>
              <w:rPr>
                <w:szCs w:val="24"/>
              </w:rPr>
              <w:t>От имени заявителя могут действовать его представители, наделённые соответствующими полномочиями в порядке, установленном законодательством Российской Федерации</w:t>
            </w:r>
          </w:p>
        </w:tc>
        <w:tc>
          <w:tcPr>
            <w:tcW w:w="2410" w:type="dxa"/>
            <w:tcBorders>
              <w:top w:val="single" w:sz="4" w:space="0" w:color="000000"/>
              <w:left w:val="single" w:sz="4" w:space="0" w:color="000000"/>
              <w:bottom w:val="single" w:sz="4" w:space="0" w:color="000000"/>
              <w:right w:val="single" w:sz="4" w:space="0" w:color="000000"/>
            </w:tcBorders>
          </w:tcPr>
          <w:p>
            <w:pPr>
              <w:pStyle w:val="Normal"/>
              <w:jc w:val="both"/>
              <w:rPr>
                <w:shd w:fill="FFFFFF" w:val="clear"/>
              </w:rPr>
            </w:pPr>
            <w:r>
              <w:rPr>
                <w:shd w:fill="FFFFFF" w:val="clear"/>
              </w:rPr>
              <w:t>1. В электронной форме посредством Портала.</w:t>
            </w:r>
          </w:p>
          <w:p>
            <w:pPr>
              <w:pStyle w:val="NoSpacing"/>
              <w:suppressAutoHyphens w:val="false"/>
              <w:jc w:val="both"/>
              <w:rPr>
                <w:shd w:fill="FFFFFF" w:val="clear"/>
              </w:rPr>
            </w:pPr>
            <w:r>
              <w:rPr>
                <w:shd w:fill="FFFFFF" w:val="clear"/>
              </w:rPr>
              <w:t>2. На бумажном но-сителе посредством личного обращения в уполномоченный орган, в том числе через МФЦ,</w:t>
            </w:r>
            <w:r>
              <w:rPr/>
              <w:t xml:space="preserve"> </w:t>
            </w:r>
            <w:r>
              <w:rPr>
                <w:shd w:fill="FFFFFF" w:val="clear"/>
              </w:rPr>
              <w:t>в соответствии с Соглашением о взаимодействии между МФЦ и администрацией муници</w:t>
            </w:r>
            <w:r>
              <w:rPr>
                <w:spacing w:val="-6"/>
                <w:shd w:fill="FFFFFF" w:val="clear"/>
              </w:rPr>
              <w:t xml:space="preserve">пального </w:t>
            </w:r>
            <w:r>
              <w:rPr>
                <w:shd w:fill="FFFFFF" w:val="clear"/>
              </w:rPr>
              <w:t>образования Ейский муниципальный район Краснодарского края</w:t>
            </w:r>
            <w:r>
              <w:rPr>
                <w:spacing w:val="-6"/>
                <w:shd w:fill="FFFFFF" w:val="clear"/>
              </w:rPr>
              <w:t>.</w:t>
            </w:r>
          </w:p>
          <w:p>
            <w:pPr>
              <w:pStyle w:val="NoSpacing"/>
              <w:suppressAutoHyphens w:val="false"/>
              <w:jc w:val="both"/>
              <w:rPr>
                <w:shd w:fill="FFFFFF" w:val="clear"/>
              </w:rPr>
            </w:pPr>
            <w:r>
              <w:rPr>
                <w:shd w:fill="FFFFFF" w:val="clear"/>
              </w:rPr>
              <w:t>3. С использованием соответствующих информационных систем.</w:t>
            </w:r>
          </w:p>
          <w:p>
            <w:pPr>
              <w:pStyle w:val="Normal"/>
              <w:suppressAutoHyphens w:val="false"/>
              <w:jc w:val="both"/>
              <w:rPr>
                <w:spacing w:val="-6"/>
                <w:szCs w:val="24"/>
              </w:rPr>
            </w:pPr>
            <w:r>
              <w:rPr>
                <w:spacing w:val="-6"/>
                <w:shd w:fill="FFFFFF" w:val="clear"/>
              </w:rPr>
              <w:t>4. С использованием единой информационной системы жилищного строительства, предусмотренной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(для застройщиков, наименования которых содержат слова «специализированный застройщик»)</w:t>
            </w:r>
          </w:p>
        </w:tc>
        <w:tc>
          <w:tcPr>
            <w:tcW w:w="2692" w:type="dxa"/>
            <w:tcBorders>
              <w:top w:val="single" w:sz="4" w:space="0" w:color="000000"/>
              <w:left w:val="single" w:sz="4" w:space="0" w:color="000000"/>
              <w:bottom w:val="single" w:sz="4" w:space="0" w:color="000000"/>
              <w:right w:val="single" w:sz="4" w:space="0" w:color="000000"/>
            </w:tcBorders>
          </w:tcPr>
          <w:p>
            <w:pPr>
              <w:pStyle w:val="Normal"/>
              <w:suppressAutoHyphens w:val="false"/>
              <w:jc w:val="both"/>
              <w:rPr>
                <w:rFonts w:ascii="Calibri" w:hAnsi="Calibri" w:asciiTheme="minorHAnsi" w:hAnsiTheme="minorHAnsi"/>
              </w:rPr>
            </w:pPr>
            <w:r>
              <w:rPr>
                <w:szCs w:val="24"/>
                <w:shd w:fill="FFFFFF" w:val="clear"/>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 в том числе постановление Правительства Российской Федерации от 07.10.2029 № 1294 «</w:t>
            </w:r>
            <w:r>
              <w:rPr>
                <w:color w:val="22272F"/>
                <w:szCs w:val="24"/>
                <w:shd w:fill="FFFFFF" w:val="clear"/>
              </w:rPr>
              <w:t>Об утверждении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w:t>
            </w:r>
          </w:p>
          <w:p>
            <w:pPr>
              <w:pStyle w:val="Normal"/>
              <w:suppressAutoHyphens w:val="false"/>
              <w:jc w:val="both"/>
              <w:rPr>
                <w:szCs w:val="24"/>
              </w:rPr>
            </w:pPr>
            <w:r>
              <w:rPr>
                <w:szCs w:val="24"/>
              </w:rPr>
            </w:r>
          </w:p>
        </w:tc>
        <w:tc>
          <w:tcPr>
            <w:tcW w:w="3686" w:type="dxa"/>
            <w:tcBorders>
              <w:top w:val="single" w:sz="4" w:space="0" w:color="000000"/>
              <w:left w:val="single" w:sz="4" w:space="0" w:color="000000"/>
              <w:bottom w:val="single" w:sz="4" w:space="0" w:color="000000"/>
              <w:right w:val="single" w:sz="4" w:space="0" w:color="000000"/>
            </w:tcBorders>
          </w:tcPr>
          <w:p>
            <w:pPr>
              <w:pStyle w:val="Normal"/>
              <w:suppressAutoHyphens w:val="false"/>
              <w:jc w:val="both"/>
              <w:rPr>
                <w:szCs w:val="24"/>
                <w:shd w:fill="FFFFFF" w:val="clear"/>
              </w:rPr>
            </w:pPr>
            <w:r>
              <w:rPr>
                <w:szCs w:val="24"/>
                <w:shd w:fill="FFFFFF" w:val="clear"/>
              </w:rPr>
              <w:t>1) Документы и (или) информации представляются в зависимости от идентификаторов категории (признаков) заявителей, чьи интересы представляет уполномоченное лицо.</w:t>
            </w:r>
          </w:p>
          <w:p>
            <w:pPr>
              <w:pStyle w:val="Normal"/>
              <w:suppressAutoHyphens w:val="false"/>
              <w:jc w:val="both"/>
              <w:rPr>
                <w:szCs w:val="24"/>
              </w:rPr>
            </w:pPr>
            <w:r>
              <w:rPr/>
              <w:t>2) Копия документа, удостоверяющего личность представителя, и документа, подтверждающего полномочия представителя заявителя в соответствии с законодательством Российской Федерации, в случае обращения представителя заявителя</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pPr>
              <w:pStyle w:val="Normal"/>
              <w:suppressAutoHyphens w:val="false"/>
              <w:ind w:left="85" w:right="85"/>
              <w:jc w:val="both"/>
              <w:rPr>
                <w:szCs w:val="24"/>
                <w:shd w:fill="FFFFFF" w:val="clear"/>
              </w:rPr>
            </w:pPr>
            <w:r>
              <w:rPr>
                <w:szCs w:val="24"/>
                <w:shd w:fill="FFFFFF" w:val="clear"/>
              </w:rPr>
              <w:t>Документы и (или) информации представляются в зависимости от идентификаторов категории (признаков) заявителей, чьи интересы представляет уполномоченное лицо</w:t>
            </w:r>
          </w:p>
          <w:p>
            <w:pPr>
              <w:pStyle w:val="Normal"/>
              <w:rPr>
                <w:szCs w:val="24"/>
                <w:shd w:fill="FFFFFF" w:val="clear"/>
              </w:rPr>
            </w:pPr>
            <w:r>
              <w:rPr>
                <w:szCs w:val="24"/>
                <w:shd w:fill="FFFFFF" w:val="clear"/>
              </w:rPr>
            </w:r>
          </w:p>
          <w:p>
            <w:pPr>
              <w:pStyle w:val="Normal"/>
              <w:suppressAutoHyphens w:val="false"/>
              <w:jc w:val="both"/>
              <w:rPr>
                <w:szCs w:val="24"/>
              </w:rPr>
            </w:pPr>
            <w:r>
              <w:rPr>
                <w:szCs w:val="24"/>
              </w:rPr>
            </w:r>
          </w:p>
        </w:tc>
      </w:tr>
    </w:tbl>
    <w:p>
      <w:pPr>
        <w:pStyle w:val="Style19"/>
        <w:ind w:hanging="0"/>
        <w:rPr>
          <w:sz w:val="28"/>
          <w:szCs w:val="28"/>
          <w:shd w:fill="FFFFFF" w:val="clear"/>
        </w:rPr>
      </w:pPr>
      <w:r>
        <w:rPr>
          <w:sz w:val="28"/>
          <w:szCs w:val="28"/>
          <w:shd w:fill="FFFFFF" w:val="clear"/>
        </w:rPr>
      </w:r>
    </w:p>
    <w:p>
      <w:pPr>
        <w:pStyle w:val="Normal"/>
        <w:rPr>
          <w:sz w:val="28"/>
          <w:szCs w:val="28"/>
        </w:rPr>
      </w:pPr>
      <w:r>
        <w:rPr>
          <w:sz w:val="28"/>
          <w:szCs w:val="28"/>
        </w:rPr>
        <w:t>Начальник управления архитектуры</w:t>
      </w:r>
    </w:p>
    <w:p>
      <w:pPr>
        <w:pStyle w:val="Normal"/>
        <w:rPr>
          <w:sz w:val="28"/>
          <w:szCs w:val="28"/>
        </w:rPr>
      </w:pPr>
      <w:r>
        <w:rPr>
          <w:sz w:val="28"/>
          <w:szCs w:val="28"/>
        </w:rPr>
        <w:t>и градостроительства администрации</w:t>
      </w:r>
    </w:p>
    <w:p>
      <w:pPr>
        <w:pStyle w:val="Normal"/>
        <w:rPr>
          <w:sz w:val="28"/>
          <w:szCs w:val="28"/>
          <w:shd w:fill="FFFFFF" w:val="clear"/>
        </w:rPr>
      </w:pPr>
      <w:r>
        <w:rPr>
          <w:sz w:val="28"/>
          <w:szCs w:val="28"/>
        </w:rPr>
        <w:t>муниципального образования Ейский район                                                                                                          Е.Г. Медведева</w:t>
      </w:r>
    </w:p>
    <w:sectPr>
      <w:headerReference w:type="even" r:id="rId2"/>
      <w:headerReference w:type="default" r:id="rId3"/>
      <w:headerReference w:type="first" r:id="rId4"/>
      <w:type w:val="nextPage"/>
      <w:pgSz w:orient="landscape" w:w="16838" w:h="11906"/>
      <w:pgMar w:left="1134" w:right="1134" w:gutter="0" w:header="708" w:top="1701" w:footer="0" w:bottom="85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417219716"/>
    </w:sdtPr>
    <w:sdtContent>
      <w:p>
        <w:pPr>
          <w:pStyle w:val="Header"/>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22</w:t>
        </w:r>
        <w:r>
          <w:rPr>
            <w:sz w:val="28"/>
            <w:szCs w:val="28"/>
          </w:rPr>
          <w:fldChar w:fldCharType="end"/>
        </w:r>
      </w:p>
    </w:sdtContent>
  </w:sdt>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347c2"/>
    <w:pPr>
      <w:widowControl w:val="false"/>
      <w:suppressAutoHyphens w:val="true"/>
      <w:overflowPunct w:val="false"/>
      <w:bidi w:val="0"/>
      <w:spacing w:lineRule="auto" w:line="240" w:before="0" w:after="0"/>
      <w:jc w:val="left"/>
      <w:textAlignment w:val="baseline"/>
    </w:pPr>
    <w:rPr>
      <w:rFonts w:ascii="Times New Roman" w:hAnsi="Times New Roman" w:eastAsia="Times New Roman" w:cs="Times New Roman"/>
      <w:color w:val="auto"/>
      <w:kern w:val="2"/>
      <w:sz w:val="24"/>
      <w:szCs w:val="22"/>
      <w:lang w:val="ru-RU" w:eastAsia="ru-RU" w:bidi="ar-SA"/>
    </w:rPr>
  </w:style>
  <w:style w:type="character" w:styleId="DefaultParagraphFont" w:default="1">
    <w:name w:val="Default Paragraph Font"/>
    <w:uiPriority w:val="1"/>
    <w:semiHidden/>
    <w:unhideWhenUsed/>
    <w:qFormat/>
    <w:rPr/>
  </w:style>
  <w:style w:type="character" w:styleId="InternetLink">
    <w:name w:val="Internet Link"/>
    <w:basedOn w:val="DefaultParagraphFont"/>
    <w:qFormat/>
    <w:rsid w:val="001e3d60"/>
    <w:rPr>
      <w:color w:val="0000FF"/>
      <w:u w:val="single"/>
    </w:rPr>
  </w:style>
  <w:style w:type="character" w:styleId="Style14" w:customStyle="1">
    <w:name w:val="Текст выноски Знак"/>
    <w:basedOn w:val="DefaultParagraphFont"/>
    <w:link w:val="BalloonText"/>
    <w:uiPriority w:val="99"/>
    <w:semiHidden/>
    <w:qFormat/>
    <w:rsid w:val="00f2629f"/>
    <w:rPr>
      <w:rFonts w:ascii="Tahoma" w:hAnsi="Tahoma" w:eastAsia="Times New Roman" w:cs="Tahoma"/>
      <w:kern w:val="2"/>
      <w:sz w:val="16"/>
      <w:szCs w:val="16"/>
      <w:lang w:eastAsia="ru-RU"/>
    </w:rPr>
  </w:style>
  <w:style w:type="character" w:styleId="Style15" w:customStyle="1">
    <w:name w:val="Верхний колонтитул Знак"/>
    <w:basedOn w:val="DefaultParagraphFont"/>
    <w:uiPriority w:val="99"/>
    <w:qFormat/>
    <w:rsid w:val="00e4285f"/>
    <w:rPr>
      <w:rFonts w:ascii="Times New Roman" w:hAnsi="Times New Roman" w:eastAsia="Times New Roman" w:cs="Times New Roman"/>
      <w:kern w:val="2"/>
      <w:sz w:val="24"/>
      <w:lang w:eastAsia="ru-RU"/>
    </w:rPr>
  </w:style>
  <w:style w:type="character" w:styleId="Style16" w:customStyle="1">
    <w:name w:val="Нижний колонтитул Знак"/>
    <w:basedOn w:val="DefaultParagraphFont"/>
    <w:uiPriority w:val="99"/>
    <w:qFormat/>
    <w:rsid w:val="00e4285f"/>
    <w:rPr>
      <w:rFonts w:ascii="Times New Roman" w:hAnsi="Times New Roman" w:eastAsia="Times New Roman" w:cs="Times New Roman"/>
      <w:kern w:val="2"/>
      <w:sz w:val="24"/>
      <w:lang w:eastAsia="ru-RU"/>
    </w:rPr>
  </w:style>
  <w:style w:type="paragraph" w:styleId="Style17">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8">
    <w:name w:val="Указатель"/>
    <w:basedOn w:val="Normal"/>
    <w:qFormat/>
    <w:pPr>
      <w:suppressLineNumbers/>
    </w:pPr>
    <w:rPr>
      <w:rFonts w:cs="Arial"/>
    </w:rPr>
  </w:style>
  <w:style w:type="paragraph" w:styleId="Style19" w:customStyle="1">
    <w:name w:val="Нормальный"/>
    <w:basedOn w:val="Normal"/>
    <w:qFormat/>
    <w:rsid w:val="00c347c2"/>
    <w:pPr>
      <w:widowControl/>
      <w:ind w:firstLine="720"/>
      <w:jc w:val="both"/>
    </w:pPr>
    <w:rPr/>
  </w:style>
  <w:style w:type="paragraph" w:styleId="s1" w:customStyle="1">
    <w:name w:val="s_1"/>
    <w:basedOn w:val="Normal"/>
    <w:qFormat/>
    <w:rsid w:val="00c347c2"/>
    <w:pPr>
      <w:widowControl/>
      <w:suppressAutoHyphens w:val="false"/>
      <w:overflowPunct w:val="true"/>
      <w:spacing w:before="100" w:after="100"/>
      <w:textAlignment w:val="auto"/>
    </w:pPr>
    <w:rPr>
      <w:kern w:val="0"/>
      <w:szCs w:val="24"/>
    </w:rPr>
  </w:style>
  <w:style w:type="paragraph" w:styleId="s16" w:customStyle="1">
    <w:name w:val="s_16"/>
    <w:basedOn w:val="Normal"/>
    <w:qFormat/>
    <w:rsid w:val="00c347c2"/>
    <w:pPr>
      <w:widowControl/>
      <w:suppressAutoHyphens w:val="false"/>
      <w:overflowPunct w:val="true"/>
      <w:spacing w:before="100" w:after="100"/>
      <w:textAlignment w:val="auto"/>
    </w:pPr>
    <w:rPr>
      <w:kern w:val="0"/>
      <w:szCs w:val="24"/>
    </w:rPr>
  </w:style>
  <w:style w:type="paragraph" w:styleId="NoSpacing">
    <w:name w:val="No Spacing"/>
    <w:qFormat/>
    <w:rsid w:val="001e3d60"/>
    <w:pPr>
      <w:widowControl w:val="false"/>
      <w:suppressAutoHyphens w:val="true"/>
      <w:overflowPunct w:val="false"/>
      <w:bidi w:val="0"/>
      <w:spacing w:lineRule="auto" w:line="240" w:before="0" w:after="0"/>
      <w:jc w:val="left"/>
      <w:textAlignment w:val="baseline"/>
    </w:pPr>
    <w:rPr>
      <w:rFonts w:ascii="Times New Roman" w:hAnsi="Times New Roman" w:eastAsia="Times New Roman" w:cs="Times New Roman"/>
      <w:color w:val="auto"/>
      <w:kern w:val="2"/>
      <w:sz w:val="24"/>
      <w:szCs w:val="22"/>
      <w:lang w:val="ru-RU" w:eastAsia="ru-RU" w:bidi="ar-SA"/>
    </w:rPr>
  </w:style>
  <w:style w:type="paragraph" w:styleId="BalloonText">
    <w:name w:val="Balloon Text"/>
    <w:basedOn w:val="Normal"/>
    <w:link w:val="Style14"/>
    <w:uiPriority w:val="99"/>
    <w:semiHidden/>
    <w:unhideWhenUsed/>
    <w:qFormat/>
    <w:rsid w:val="00f2629f"/>
    <w:pPr/>
    <w:rPr>
      <w:rFonts w:ascii="Tahoma" w:hAnsi="Tahoma" w:cs="Tahoma"/>
      <w:sz w:val="16"/>
      <w:szCs w:val="16"/>
    </w:rPr>
  </w:style>
  <w:style w:type="paragraph" w:styleId="HeaderandFooter">
    <w:name w:val="Header and Footer"/>
    <w:basedOn w:val="Normal"/>
    <w:qFormat/>
    <w:pPr/>
    <w:rPr/>
  </w:style>
  <w:style w:type="paragraph" w:styleId="Header">
    <w:name w:val="Header"/>
    <w:basedOn w:val="Normal"/>
    <w:link w:val="Style15"/>
    <w:uiPriority w:val="99"/>
    <w:unhideWhenUsed/>
    <w:rsid w:val="00e4285f"/>
    <w:pPr>
      <w:tabs>
        <w:tab w:val="clear" w:pos="708"/>
        <w:tab w:val="center" w:pos="4677" w:leader="none"/>
        <w:tab w:val="right" w:pos="9355" w:leader="none"/>
      </w:tabs>
    </w:pPr>
    <w:rPr/>
  </w:style>
  <w:style w:type="paragraph" w:styleId="Footer">
    <w:name w:val="Footer"/>
    <w:basedOn w:val="Normal"/>
    <w:link w:val="Style16"/>
    <w:uiPriority w:val="99"/>
    <w:unhideWhenUsed/>
    <w:rsid w:val="00e4285f"/>
    <w:pPr>
      <w:tabs>
        <w:tab w:val="clear" w:pos="708"/>
        <w:tab w:val="center" w:pos="4677" w:leader="none"/>
        <w:tab w:val="right" w:pos="9355" w:leader="none"/>
      </w:tabs>
    </w:pPr>
    <w:rPr/>
  </w:style>
  <w:style w:type="paragraph" w:styleId="ListParagraph">
    <w:name w:val="List Paragraph"/>
    <w:basedOn w:val="Normal"/>
    <w:uiPriority w:val="34"/>
    <w:qFormat/>
    <w:rsid w:val="00ff3a7b"/>
    <w:pPr>
      <w:spacing w:before="0" w:after="0"/>
      <w:ind w:left="720"/>
      <w:contextualSpacing/>
    </w:pPr>
    <w:rPr/>
  </w:style>
  <w:style w:type="numbering" w:styleId="Style20"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c">
    <w:name w:val="Table Grid"/>
    <w:basedOn w:val="a1"/>
    <w:uiPriority w:val="59"/>
    <w:rsid w:val="0067042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838D7-2F49-4723-8758-06DA29614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Application>LibreOffice/24.2.5.2$Windows_X86_64 LibreOffice_project/bffef4ea93e59bebbeaf7f431bb02b1a39ee8a59</Application>
  <AppVersion>15.0000</AppVersion>
  <Pages>22</Pages>
  <Words>4678</Words>
  <Characters>35244</Characters>
  <CharactersWithSpaces>39905</CharactersWithSpaces>
  <Paragraphs>131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2025-11-06T14:24:00Z</dcterms:created>
  <dc:creator>Специалист</dc:creator>
  <dc:description/>
  <dc:language>ru-RU</dc:language>
  <cp:lastModifiedBy/>
  <cp:lastPrinted>2025-11-07T06:55:00Z</cp:lastPrinted>
  <dcterms:modified xsi:type="dcterms:W3CDTF">2026-02-24T11:49:28Z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